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E2990" w14:textId="77777777" w:rsidR="009D6D12" w:rsidRPr="00260C97" w:rsidRDefault="009D6D12" w:rsidP="008E54A0">
      <w:pPr>
        <w:pStyle w:val="Heading1"/>
        <w:ind w:left="-142"/>
        <w:rPr>
          <w:sz w:val="32"/>
        </w:rPr>
      </w:pPr>
      <w:r w:rsidRPr="00260C97">
        <w:rPr>
          <w:sz w:val="32"/>
        </w:rPr>
        <w:t>Guideline Checklist for Re-Opening Facilities</w:t>
      </w:r>
    </w:p>
    <w:p w14:paraId="734D4417" w14:textId="67D3589D" w:rsidR="009D6D12" w:rsidRPr="00260C97" w:rsidRDefault="009D6D12" w:rsidP="00260C97">
      <w:pPr>
        <w:pStyle w:val="BodyText"/>
        <w:ind w:left="-142" w:right="-143"/>
        <w:rPr>
          <w:sz w:val="18"/>
        </w:rPr>
      </w:pPr>
      <w:r w:rsidRPr="00260C97">
        <w:rPr>
          <w:sz w:val="18"/>
        </w:rPr>
        <w:t xml:space="preserve">The re-opening of previously closed facilities will require careful planning and consideration.  An action plan should be developed and followed to reduce the possibility of re-introducing the virus to </w:t>
      </w:r>
      <w:r w:rsidR="008E54A0">
        <w:rPr>
          <w:sz w:val="18"/>
        </w:rPr>
        <w:t>employees, contractors</w:t>
      </w:r>
      <w:r w:rsidRPr="00260C97">
        <w:rPr>
          <w:sz w:val="18"/>
        </w:rPr>
        <w:t xml:space="preserve"> and visitors. The following are some action items which should be considered before opening, during re-occupation and after a work day.</w:t>
      </w:r>
    </w:p>
    <w:tbl>
      <w:tblPr>
        <w:tblStyle w:val="GridTable4-Accent21"/>
        <w:tblW w:w="1035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84"/>
        <w:gridCol w:w="4371"/>
        <w:gridCol w:w="305"/>
        <w:gridCol w:w="4967"/>
      </w:tblGrid>
      <w:tr w:rsidR="005D1A45" w:rsidRPr="008E54A0" w14:paraId="07384321" w14:textId="77777777" w:rsidTr="00A97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72050B" w14:textId="69C591CB" w:rsidR="005D1A45" w:rsidRPr="008E54A0" w:rsidRDefault="005D1A45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Employee Safety</w:t>
            </w:r>
          </w:p>
        </w:tc>
      </w:tr>
      <w:tr w:rsidR="005D1A45" w:rsidRPr="008E54A0" w14:paraId="4642AAAC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18"/>
              <w:szCs w:val="18"/>
            </w:rPr>
            <w:id w:val="9161342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1473EB15" w14:textId="5FCB609C" w:rsidR="005D1A45" w:rsidRPr="008E54A0" w:rsidRDefault="00B83B22" w:rsidP="00260C97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3E0E50E8" w14:textId="05DBFB38" w:rsidR="005D1A45" w:rsidRPr="008E54A0" w:rsidRDefault="00F56E72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Prepare to implement basic infection prevention m</w:t>
            </w:r>
            <w:r w:rsidR="005D1A45"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easures.</w:t>
            </w:r>
          </w:p>
        </w:tc>
      </w:tr>
      <w:tr w:rsidR="008E54A0" w:rsidRPr="008E54A0" w14:paraId="2D5970E1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069A72E3" w14:textId="77777777" w:rsidR="006C7475" w:rsidRPr="008E54A0" w:rsidRDefault="006C7475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025930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F50B18C" w14:textId="4668DB13" w:rsidR="006C7475" w:rsidRPr="008E54A0" w:rsidRDefault="00260C97" w:rsidP="00260C97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64E6AC7D" w14:textId="08D4EF37" w:rsidR="006C7475" w:rsidRPr="008E54A0" w:rsidRDefault="006C7475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Staff return to work Covid-19 induction procedure</w:t>
            </w:r>
            <w:r w:rsidR="002C65C2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-579366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62F73648" w14:textId="6F4BBAA8" w:rsidR="006C7475" w:rsidRPr="008E54A0" w:rsidRDefault="00B83B22" w:rsidP="00260C97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6E361F3E" w14:textId="77AA3634" w:rsidR="006C7475" w:rsidRPr="008E54A0" w:rsidRDefault="006C7475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Encourage sick employees to stay home</w:t>
            </w:r>
            <w:r w:rsidR="002C65C2">
              <w:rPr>
                <w:sz w:val="18"/>
                <w:szCs w:val="18"/>
              </w:rPr>
              <w:t>.</w:t>
            </w:r>
          </w:p>
        </w:tc>
      </w:tr>
      <w:tr w:rsidR="008E54A0" w:rsidRPr="008E54A0" w14:paraId="7CF20225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3B9FDDC2" w14:textId="77777777" w:rsidR="006C7475" w:rsidRPr="008E54A0" w:rsidRDefault="006C7475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919852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7F0B21AE" w14:textId="608C1A46" w:rsidR="006C7475" w:rsidRPr="008E54A0" w:rsidRDefault="00B83B22" w:rsidP="00260C97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691817FB" w14:textId="109A4C87" w:rsidR="006C7475" w:rsidRPr="008E54A0" w:rsidRDefault="006C7475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Promote frequent and thorough hand washing</w:t>
            </w:r>
            <w:r w:rsidR="002C65C2">
              <w:rPr>
                <w:sz w:val="18"/>
                <w:szCs w:val="18"/>
              </w:rPr>
              <w:t>.</w:t>
            </w:r>
            <w:r w:rsidRPr="008E54A0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452633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5C5CD71E" w14:textId="3DDD87CF" w:rsidR="006C7475" w:rsidRPr="008E54A0" w:rsidRDefault="00B83B22" w:rsidP="00260C97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70B5790E" w14:textId="34319207" w:rsidR="006C7475" w:rsidRPr="008E54A0" w:rsidRDefault="006C7475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Identify isolation room for individuals exhibiting signs of the virus or illness</w:t>
            </w:r>
            <w:r w:rsidR="002C65C2">
              <w:rPr>
                <w:sz w:val="18"/>
                <w:szCs w:val="18"/>
              </w:rPr>
              <w:t>.</w:t>
            </w:r>
          </w:p>
        </w:tc>
      </w:tr>
      <w:tr w:rsidR="008E54A0" w:rsidRPr="008E54A0" w14:paraId="3B178D6E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10C697CC" w14:textId="77777777" w:rsidR="006C7475" w:rsidRPr="008E54A0" w:rsidRDefault="006C7475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2482346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2DBA362A" w14:textId="694C463B" w:rsidR="006C7475" w:rsidRPr="008E54A0" w:rsidRDefault="00B83B22" w:rsidP="00260C97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5BBCC6EB" w14:textId="051AE501" w:rsidR="006C7475" w:rsidRPr="008E54A0" w:rsidRDefault="006C7475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Provide thermometers</w:t>
            </w:r>
            <w:r w:rsidR="002C65C2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20067735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74280128" w14:textId="35D75263" w:rsidR="006C7475" w:rsidRPr="008E54A0" w:rsidRDefault="00B83B22" w:rsidP="00260C97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3DC148ED" w14:textId="55622AAA" w:rsidR="006C7475" w:rsidRPr="008E54A0" w:rsidRDefault="006C7475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Maintain routine cleaning and disinfection of surfaces, especially high contact surfaces</w:t>
            </w:r>
            <w:r w:rsidR="002C65C2">
              <w:rPr>
                <w:sz w:val="18"/>
                <w:szCs w:val="18"/>
              </w:rPr>
              <w:t>.</w:t>
            </w:r>
          </w:p>
        </w:tc>
      </w:tr>
      <w:tr w:rsidR="008E54A0" w:rsidRPr="008E54A0" w14:paraId="5835564C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4999DD8A" w14:textId="77777777" w:rsidR="006C7475" w:rsidRPr="008E54A0" w:rsidRDefault="006C7475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496915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2ED4D7F1" w14:textId="43FA58F7" w:rsidR="006C7475" w:rsidRPr="008E54A0" w:rsidRDefault="00B83B22" w:rsidP="00260C97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366D061A" w14:textId="1FC9EB42" w:rsidR="006C7475" w:rsidRPr="008E54A0" w:rsidRDefault="006C7475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Provide adequate or increased availability of sanitation stations in high traffic areas</w:t>
            </w:r>
            <w:r w:rsidR="002C65C2">
              <w:rPr>
                <w:sz w:val="18"/>
                <w:szCs w:val="18"/>
              </w:rPr>
              <w:t>.</w:t>
            </w:r>
          </w:p>
        </w:tc>
        <w:tc>
          <w:tcPr>
            <w:tcW w:w="305" w:type="dxa"/>
            <w:vAlign w:val="center"/>
          </w:tcPr>
          <w:p w14:paraId="0F8FED36" w14:textId="77777777" w:rsidR="006C7475" w:rsidRPr="008E54A0" w:rsidRDefault="006C7475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65" w:type="dxa"/>
            <w:vAlign w:val="center"/>
          </w:tcPr>
          <w:p w14:paraId="1F8BFB53" w14:textId="77777777" w:rsidR="006C7475" w:rsidRPr="008E54A0" w:rsidRDefault="006C7475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4368C" w:rsidRPr="008E54A0" w14:paraId="19A13980" w14:textId="77777777" w:rsidTr="00A97B95">
        <w:sdt>
          <w:sdtPr>
            <w:rPr>
              <w:sz w:val="18"/>
              <w:szCs w:val="18"/>
            </w:rPr>
            <w:id w:val="8872190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1CF9DEA8" w14:textId="411A79E6" w:rsidR="0094368C" w:rsidRPr="008E54A0" w:rsidRDefault="0094368C" w:rsidP="00260C97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316F65CD" w14:textId="7B03225E" w:rsidR="0094368C" w:rsidRPr="00A97B95" w:rsidRDefault="0094368C" w:rsidP="00A97B95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97B95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Develop an infectious disease preparedness and response plan that can help guide protective</w:t>
            </w:r>
            <w:r w:rsidR="008E54A0" w:rsidRPr="00A97B95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 </w:t>
            </w:r>
            <w:r w:rsidR="00F56E7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actions against Covid</w:t>
            </w:r>
            <w:r w:rsidRPr="00A97B95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-19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.</w:t>
            </w:r>
            <w:r w:rsidRPr="00A97B95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 </w:t>
            </w:r>
          </w:p>
        </w:tc>
      </w:tr>
      <w:tr w:rsidR="0094368C" w:rsidRPr="008E54A0" w14:paraId="603A5821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18"/>
              <w:szCs w:val="18"/>
            </w:rPr>
            <w:id w:val="-7331492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3B8A831A" w14:textId="5345BBB1" w:rsidR="0094368C" w:rsidRPr="008E54A0" w:rsidRDefault="0094368C" w:rsidP="00260C97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10BA9031" w14:textId="7E187D39" w:rsidR="0094368C" w:rsidRPr="008E54A0" w:rsidRDefault="0094368C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Implement Workplace Controls</w:t>
            </w:r>
          </w:p>
        </w:tc>
      </w:tr>
      <w:tr w:rsidR="008E54A0" w:rsidRPr="008E54A0" w14:paraId="1778A7AF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0CA9C6F3" w14:textId="77777777" w:rsidR="0094368C" w:rsidRPr="008E54A0" w:rsidRDefault="0094368C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758771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68421F88" w14:textId="083ACE23" w:rsidR="0094368C" w:rsidRPr="008E54A0" w:rsidRDefault="00151E79" w:rsidP="00260C97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4BC09AA5" w14:textId="0BF5C986" w:rsidR="0094368C" w:rsidRPr="008E54A0" w:rsidRDefault="0094368C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Engineering Controls such as physical barriers,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 xml:space="preserve"> p</w:t>
            </w: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lexiglass screens, increased ventilation, and altering job tasks to reduce exposure</w:t>
            </w:r>
            <w:r w:rsidR="00F56E7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  <w:sdt>
          <w:sdtPr>
            <w:rPr>
              <w:sz w:val="18"/>
              <w:szCs w:val="18"/>
            </w:rPr>
            <w:id w:val="-3543421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36F9778C" w14:textId="21CB54C8" w:rsidR="0094368C" w:rsidRPr="008E54A0" w:rsidRDefault="00151E79" w:rsidP="00260C97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1B6BF3E7" w14:textId="263042A7" w:rsidR="0094368C" w:rsidRPr="008E54A0" w:rsidRDefault="0094368C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Safe Work Practices that promote infection control such as additional signage, hands free or no touch operati</w:t>
            </w:r>
            <w:r w:rsidR="00F56E7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 xml:space="preserve">on 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of devices (taps</w:t>
            </w:r>
            <w:r w:rsidR="00F56E7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, waste bins, soap or sanitis</w:t>
            </w: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er dispensers)</w:t>
            </w:r>
            <w:r w:rsidR="00F56E7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</w:tr>
      <w:tr w:rsidR="008E54A0" w:rsidRPr="008E54A0" w14:paraId="5B5BDFF7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64995194" w14:textId="77777777" w:rsidR="0094368C" w:rsidRPr="008E54A0" w:rsidRDefault="0094368C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596212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68DB95A5" w14:textId="5CFE391C" w:rsidR="0094368C" w:rsidRPr="008E54A0" w:rsidRDefault="00151E79" w:rsidP="00260C97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4B08D6F3" w14:textId="1B94E95D" w:rsidR="0094368C" w:rsidRPr="008E54A0" w:rsidRDefault="0094368C" w:rsidP="00260C97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Administrative Controls such as alternating work schedules, discontinuing non-essential travel or replacing with virtual communications</w:t>
            </w:r>
            <w:r w:rsidR="00F56E7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  <w:sdt>
          <w:sdtPr>
            <w:rPr>
              <w:sz w:val="18"/>
              <w:szCs w:val="18"/>
            </w:rPr>
            <w:id w:val="-18110777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2D2AF35B" w14:textId="594A1B20" w:rsidR="0094368C" w:rsidRPr="008E54A0" w:rsidRDefault="00151E79" w:rsidP="00260C97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63C6C40C" w14:textId="670D297A" w:rsidR="0094368C" w:rsidRPr="008E54A0" w:rsidRDefault="0094368C" w:rsidP="002C65C2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Personal Protective Equipment (PPE) must be provided to workers with the potential to be exposed as part of their normal assigned job duties.  Consider making PPE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 xml:space="preserve"> available</w:t>
            </w: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 xml:space="preserve"> to employees who may come in close contact with customers, vendors, or the general public</w:t>
            </w:r>
            <w:r w:rsidR="00F56E7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</w:tr>
      <w:tr w:rsidR="008E54A0" w:rsidRPr="008E54A0" w14:paraId="723BC00C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518831DA" w14:textId="77777777" w:rsidR="0094368C" w:rsidRPr="008E54A0" w:rsidRDefault="0094368C" w:rsidP="00260C97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621608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70ED6836" w14:textId="73375166" w:rsidR="0094368C" w:rsidRPr="008E54A0" w:rsidRDefault="00151E79" w:rsidP="00260C97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5EC3CEA9" w14:textId="4CD497BC" w:rsidR="0094368C" w:rsidRPr="008E54A0" w:rsidRDefault="0094368C" w:rsidP="00260C97">
            <w:pPr>
              <w:widowControl w:val="0"/>
              <w:autoSpaceDE w:val="0"/>
              <w:autoSpaceDN w:val="0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Change working layout to accommodate social distancing measures with signage</w:t>
            </w:r>
            <w:r w:rsidR="00F56E7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  <w:tc>
          <w:tcPr>
            <w:tcW w:w="305" w:type="dxa"/>
            <w:vAlign w:val="center"/>
          </w:tcPr>
          <w:p w14:paraId="18DC0ABB" w14:textId="77777777" w:rsidR="0094368C" w:rsidRPr="008E54A0" w:rsidRDefault="0094368C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65" w:type="dxa"/>
            <w:vAlign w:val="center"/>
          </w:tcPr>
          <w:p w14:paraId="4C945989" w14:textId="77777777" w:rsidR="0094368C" w:rsidRPr="008E54A0" w:rsidRDefault="0094368C" w:rsidP="00260C97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51E79" w:rsidRPr="008E54A0" w14:paraId="51F64D46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8" w:type="dxa"/>
            <w:gridSpan w:val="5"/>
            <w:shd w:val="clear" w:color="auto" w:fill="6FACDE"/>
            <w:vAlign w:val="center"/>
          </w:tcPr>
          <w:p w14:paraId="20F0D3B3" w14:textId="0897D5C6" w:rsidR="00151E79" w:rsidRPr="008E54A0" w:rsidRDefault="00151E79" w:rsidP="00260C97">
            <w:pPr>
              <w:pStyle w:val="BodyText"/>
              <w:spacing w:before="60" w:after="60"/>
              <w:rPr>
                <w:color w:val="FFFFFF" w:themeColor="background1"/>
                <w:sz w:val="18"/>
                <w:szCs w:val="18"/>
              </w:rPr>
            </w:pPr>
            <w:r w:rsidRPr="008E54A0">
              <w:rPr>
                <w:rFonts w:eastAsia="Tahoma" w:cs="Arial"/>
                <w:color w:val="FFFFFF" w:themeColor="background1"/>
                <w:sz w:val="18"/>
                <w:szCs w:val="18"/>
                <w:lang w:bidi="en-US"/>
              </w:rPr>
              <w:t>Physical Facility Preparation</w:t>
            </w:r>
          </w:p>
        </w:tc>
      </w:tr>
      <w:tr w:rsidR="00260C97" w:rsidRPr="008E54A0" w14:paraId="5EB1E6E8" w14:textId="77777777" w:rsidTr="00A97B95">
        <w:sdt>
          <w:sdtPr>
            <w:rPr>
              <w:sz w:val="18"/>
              <w:szCs w:val="18"/>
            </w:rPr>
            <w:id w:val="15117278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000D656A" w14:textId="70D81798" w:rsidR="00260C97" w:rsidRPr="008E54A0" w:rsidRDefault="00260C97" w:rsidP="00260C97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59CE697E" w14:textId="29B6B6B8" w:rsidR="00260C97" w:rsidRPr="008E54A0" w:rsidRDefault="002C65C2" w:rsidP="002C65C2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All l</w:t>
            </w:r>
            <w:r w:rsidR="00260C97"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ife </w:t>
            </w:r>
            <w:r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and s</w:t>
            </w:r>
            <w:r w:rsidR="00260C97"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ecurity </w:t>
            </w:r>
            <w:r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safety s</w:t>
            </w:r>
            <w:r w:rsidR="00260C97"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ystems should be checked to ensure proper operation</w:t>
            </w:r>
            <w:r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.</w:t>
            </w:r>
          </w:p>
        </w:tc>
      </w:tr>
      <w:tr w:rsidR="008E54A0" w:rsidRPr="008E54A0" w14:paraId="5AACF4BB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217D4E77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784945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5F37EFA3" w14:textId="77F7C7A9" w:rsidR="008E54A0" w:rsidRPr="008E54A0" w:rsidRDefault="008E54A0" w:rsidP="008E54A0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7FF13A32" w14:textId="296E84DB" w:rsidR="008E54A0" w:rsidRPr="008E54A0" w:rsidRDefault="008E54A0" w:rsidP="008E54A0">
            <w:pPr>
              <w:widowControl w:val="0"/>
              <w:autoSpaceDE w:val="0"/>
              <w:autoSpaceDN w:val="0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Fire Alarm</w:t>
            </w:r>
          </w:p>
        </w:tc>
        <w:sdt>
          <w:sdtPr>
            <w:rPr>
              <w:sz w:val="18"/>
              <w:szCs w:val="18"/>
            </w:rPr>
            <w:id w:val="-3841038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64528546" w14:textId="187F1F78" w:rsidR="008E54A0" w:rsidRPr="008E54A0" w:rsidRDefault="008E54A0" w:rsidP="008E54A0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4CCFCB09" w14:textId="4456EDF3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Fire EXIT signage</w:t>
            </w:r>
          </w:p>
        </w:tc>
      </w:tr>
      <w:tr w:rsidR="008E54A0" w:rsidRPr="008E54A0" w14:paraId="41168430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09907ED4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748742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75E4B02" w14:textId="48B475BE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477043D9" w14:textId="32B64E71" w:rsidR="008E54A0" w:rsidRPr="008E54A0" w:rsidRDefault="008E54A0" w:rsidP="008E54A0">
            <w:pPr>
              <w:widowControl w:val="0"/>
              <w:autoSpaceDE w:val="0"/>
              <w:autoSpaceDN w:val="0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Emergency Lighting Systems</w:t>
            </w:r>
          </w:p>
        </w:tc>
        <w:sdt>
          <w:sdtPr>
            <w:rPr>
              <w:sz w:val="18"/>
              <w:szCs w:val="18"/>
            </w:rPr>
            <w:id w:val="35247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38E7B78C" w14:textId="18A6E635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2C7935ED" w14:textId="48602731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sz w:val="18"/>
                <w:szCs w:val="18"/>
              </w:rPr>
              <w:t>Fire Extinguishers</w:t>
            </w:r>
          </w:p>
        </w:tc>
      </w:tr>
      <w:tr w:rsidR="008E54A0" w:rsidRPr="008E54A0" w14:paraId="5D218D1F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18"/>
              <w:szCs w:val="18"/>
            </w:rPr>
            <w:id w:val="-4421493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39E208E5" w14:textId="1FBEB930" w:rsidR="008E54A0" w:rsidRPr="008E54A0" w:rsidRDefault="008E54A0" w:rsidP="008E54A0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3A620333" w14:textId="7BF903A6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54A0">
              <w:rPr>
                <w:b/>
                <w:sz w:val="18"/>
                <w:szCs w:val="18"/>
              </w:rPr>
              <w:t xml:space="preserve">All </w:t>
            </w: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critical building 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and</w:t>
            </w: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 engineering systems should be checked for proper operation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.</w:t>
            </w:r>
            <w:r w:rsidRPr="008E54A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E54A0" w:rsidRPr="008E54A0" w14:paraId="7EB2F89F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38AECBFC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403164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32C333D4" w14:textId="4F145B92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05A82A0E" w14:textId="6E23F4C6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HVAC Systems</w:t>
            </w:r>
          </w:p>
        </w:tc>
        <w:sdt>
          <w:sdtPr>
            <w:rPr>
              <w:sz w:val="18"/>
              <w:szCs w:val="18"/>
            </w:rPr>
            <w:id w:val="-20119764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1F620CFE" w14:textId="67AC0DC9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24D446F5" w14:textId="302A3E26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Communication Systems</w:t>
            </w:r>
          </w:p>
        </w:tc>
      </w:tr>
      <w:tr w:rsidR="008E54A0" w:rsidRPr="008E54A0" w14:paraId="3400357B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58916CF4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227971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5E0DC127" w14:textId="64E7EC30" w:rsidR="008E54A0" w:rsidRPr="008E54A0" w:rsidRDefault="008E54A0" w:rsidP="008E54A0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50B7E051" w14:textId="43E1668C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Power Systems</w:t>
            </w:r>
          </w:p>
        </w:tc>
        <w:sdt>
          <w:sdtPr>
            <w:rPr>
              <w:sz w:val="18"/>
              <w:szCs w:val="18"/>
            </w:rPr>
            <w:id w:val="-12985308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39255386" w14:textId="3808A8D9" w:rsidR="008E54A0" w:rsidRPr="008E54A0" w:rsidRDefault="008E54A0" w:rsidP="008E54A0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68021C2F" w14:textId="432D9FEB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Legionella checks</w:t>
            </w:r>
          </w:p>
        </w:tc>
      </w:tr>
      <w:tr w:rsidR="008E54A0" w:rsidRPr="008E54A0" w14:paraId="1CFABE62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3456D6E6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30355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027F0D26" w14:textId="6A5095FB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5F282B3E" w14:textId="7BCFD9AE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Security Systems</w:t>
            </w:r>
          </w:p>
        </w:tc>
        <w:sdt>
          <w:sdtPr>
            <w:rPr>
              <w:sz w:val="18"/>
              <w:szCs w:val="18"/>
            </w:rPr>
            <w:id w:val="20925851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230FCB76" w14:textId="36454367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2FFD217E" w14:textId="494B66C3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Lifting &amp; Pressure systems</w:t>
            </w:r>
          </w:p>
        </w:tc>
      </w:tr>
      <w:tr w:rsidR="008E54A0" w:rsidRPr="008E54A0" w14:paraId="3BA07FE2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18"/>
              <w:szCs w:val="18"/>
            </w:rPr>
            <w:id w:val="-17242081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013B73C7" w14:textId="29A22622" w:rsidR="008E54A0" w:rsidRPr="008E54A0" w:rsidRDefault="008E54A0" w:rsidP="008E54A0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14AC936D" w14:textId="5A9DC23C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Check all parking areas and footpaths for slip, trip and fall hazards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.</w:t>
            </w:r>
          </w:p>
        </w:tc>
      </w:tr>
      <w:tr w:rsidR="008E54A0" w:rsidRPr="008E54A0" w14:paraId="16BCD158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29C2CCC9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913164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313704D3" w14:textId="51E58D0D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26C0E945" w14:textId="4567551D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Check all lighting to ensure proper operation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  <w:tc>
          <w:tcPr>
            <w:tcW w:w="305" w:type="dxa"/>
            <w:vAlign w:val="center"/>
          </w:tcPr>
          <w:p w14:paraId="51C1D501" w14:textId="77777777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65" w:type="dxa"/>
            <w:vAlign w:val="center"/>
          </w:tcPr>
          <w:p w14:paraId="14157882" w14:textId="77777777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54A0" w:rsidRPr="008E54A0" w14:paraId="71DBA4C7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18"/>
              <w:szCs w:val="18"/>
            </w:rPr>
            <w:id w:val="-13673667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2CA81F60" w14:textId="4968DF02" w:rsidR="008E54A0" w:rsidRPr="008E54A0" w:rsidRDefault="008E54A0" w:rsidP="008E54A0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223BF967" w14:textId="440BF7BC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All buildings should be properly cleaned and disinfected prior to re-opening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.</w:t>
            </w:r>
          </w:p>
        </w:tc>
      </w:tr>
      <w:tr w:rsidR="008E54A0" w:rsidRPr="008E54A0" w14:paraId="37CDFA6B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6574516F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71749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3A64F813" w14:textId="42744A20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4E8DC831" w14:textId="32CCB3AA" w:rsidR="008E54A0" w:rsidRPr="008E54A0" w:rsidRDefault="008E54A0" w:rsidP="008E54A0">
            <w:pPr>
              <w:widowControl w:val="0"/>
              <w:autoSpaceDE w:val="0"/>
              <w:autoSpaceDN w:val="0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Public Health England guidelines should be followed for cleaning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11736820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3045F118" w14:textId="12DC2815" w:rsidR="008E54A0" w:rsidRPr="008E54A0" w:rsidRDefault="008E54A0" w:rsidP="008E54A0">
                <w:pPr>
                  <w:pStyle w:val="BodyText"/>
                  <w:spacing w:before="60" w:after="60"/>
                  <w:ind w:left="33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063EF1C6" w14:textId="7DAFDACD" w:rsidR="008E54A0" w:rsidRPr="008E54A0" w:rsidRDefault="008E54A0" w:rsidP="008E54A0">
            <w:pPr>
              <w:pStyle w:val="BodyText"/>
              <w:spacing w:before="60" w:after="60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Specific cleaning guidelines should be developed for various locations and surfaces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</w:tr>
      <w:tr w:rsidR="008E54A0" w:rsidRPr="008E54A0" w14:paraId="3B3963D7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501C0E5E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038239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5F601652" w14:textId="414297D3" w:rsidR="008E54A0" w:rsidRPr="008E54A0" w:rsidRDefault="008E54A0" w:rsidP="008E54A0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04453065" w14:textId="23776C9C" w:rsidR="008E54A0" w:rsidRPr="008E54A0" w:rsidRDefault="008E54A0" w:rsidP="008E54A0">
            <w:pPr>
              <w:pStyle w:val="BodyText"/>
              <w:spacing w:before="60" w:after="60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Replace / clean HVAC filters if appropriate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  <w:tc>
          <w:tcPr>
            <w:tcW w:w="305" w:type="dxa"/>
            <w:vAlign w:val="center"/>
          </w:tcPr>
          <w:p w14:paraId="6D5E35AE" w14:textId="77777777" w:rsidR="008E54A0" w:rsidRPr="008E54A0" w:rsidRDefault="008E54A0" w:rsidP="008E54A0">
            <w:pPr>
              <w:pStyle w:val="BodyText"/>
              <w:spacing w:before="60" w:after="60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65" w:type="dxa"/>
            <w:vAlign w:val="center"/>
          </w:tcPr>
          <w:p w14:paraId="523E4DBE" w14:textId="77777777" w:rsidR="008E54A0" w:rsidRPr="008E54A0" w:rsidRDefault="008E54A0" w:rsidP="008E54A0">
            <w:pPr>
              <w:pStyle w:val="BodyText"/>
              <w:spacing w:before="60" w:after="60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54A0" w:rsidRPr="008E54A0" w14:paraId="3E9D7D8A" w14:textId="77777777" w:rsidTr="00A97B95">
        <w:sdt>
          <w:sdtPr>
            <w:rPr>
              <w:sz w:val="18"/>
              <w:szCs w:val="18"/>
            </w:rPr>
            <w:id w:val="-20853742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1" w:type="dxa"/>
                <w:vAlign w:val="center"/>
              </w:tcPr>
              <w:p w14:paraId="5B333F3F" w14:textId="738EA195" w:rsidR="008E54A0" w:rsidRPr="008E54A0" w:rsidRDefault="008E54A0" w:rsidP="008E54A0">
                <w:pPr>
                  <w:pStyle w:val="BodyText"/>
                  <w:spacing w:before="60" w:after="6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5" w:type="dxa"/>
            <w:gridSpan w:val="4"/>
            <w:vAlign w:val="center"/>
          </w:tcPr>
          <w:p w14:paraId="4BD17C61" w14:textId="1C3C4ED2" w:rsidR="008E54A0" w:rsidRPr="008E54A0" w:rsidRDefault="008E54A0" w:rsidP="008E54A0">
            <w:pPr>
              <w:pStyle w:val="BodyText"/>
              <w:spacing w:before="60" w:after="60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Employee congregation areas should be secured/managed based on current social distancing guidance from P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ublic </w:t>
            </w: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H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 xml:space="preserve">ealth </w:t>
            </w:r>
            <w:r w:rsidRPr="008E54A0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E</w:t>
            </w:r>
            <w:r w:rsidR="002C65C2">
              <w:rPr>
                <w:rFonts w:asciiTheme="minorHAnsi" w:eastAsia="Tahoma" w:hAnsiTheme="minorHAnsi" w:cstheme="minorHAnsi"/>
                <w:b/>
                <w:sz w:val="18"/>
                <w:szCs w:val="18"/>
                <w:lang w:bidi="en-US"/>
              </w:rPr>
              <w:t>ngland.</w:t>
            </w:r>
          </w:p>
        </w:tc>
      </w:tr>
      <w:tr w:rsidR="008E54A0" w:rsidRPr="008E54A0" w14:paraId="03E82530" w14:textId="77777777" w:rsidTr="00A97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65AEBF17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691284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7BE5CFA3" w14:textId="5CF4ADDA" w:rsidR="008E54A0" w:rsidRPr="008E54A0" w:rsidRDefault="008E54A0" w:rsidP="008E54A0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7227818F" w14:textId="2E38A7EF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Post infection control and social distancing guidelines throughout the facility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  <w:sdt>
          <w:sdtPr>
            <w:rPr>
              <w:sz w:val="18"/>
              <w:szCs w:val="18"/>
            </w:rPr>
            <w:id w:val="3116796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64EA1FDD" w14:textId="3551417A" w:rsidR="008E54A0" w:rsidRPr="008E54A0" w:rsidRDefault="008E54A0" w:rsidP="008E54A0">
                <w:pPr>
                  <w:pStyle w:val="BodyText"/>
                  <w:spacing w:before="60" w:after="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04D53F40" w14:textId="55718E9B" w:rsidR="008E54A0" w:rsidRPr="008E54A0" w:rsidRDefault="008E54A0" w:rsidP="008E54A0">
            <w:pPr>
              <w:pStyle w:val="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Establish controls to maintain 6 feet of separation or utilise physical barriers in public spaces and welfare facilities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</w:tr>
      <w:tr w:rsidR="008E54A0" w:rsidRPr="008E54A0" w14:paraId="6DD9939E" w14:textId="77777777" w:rsidTr="00A97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vAlign w:val="center"/>
          </w:tcPr>
          <w:p w14:paraId="12CA463E" w14:textId="77777777" w:rsidR="008E54A0" w:rsidRPr="008E54A0" w:rsidRDefault="008E54A0" w:rsidP="008E54A0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178848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Align w:val="center"/>
              </w:tcPr>
              <w:p w14:paraId="74F57656" w14:textId="7EB16546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71" w:type="dxa"/>
            <w:vAlign w:val="center"/>
          </w:tcPr>
          <w:p w14:paraId="07C9BBD4" w14:textId="45BA55D5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Prohibit access to areas where employees can congregate together (lunchrooms, cafeterias, large meeting spaces)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  <w:sdt>
          <w:sdtPr>
            <w:rPr>
              <w:sz w:val="18"/>
              <w:szCs w:val="18"/>
            </w:rPr>
            <w:id w:val="4870582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05" w:type="dxa"/>
                <w:vAlign w:val="center"/>
              </w:tcPr>
              <w:p w14:paraId="61376DC9" w14:textId="2C9C9A7E" w:rsidR="008E54A0" w:rsidRPr="008E54A0" w:rsidRDefault="008E54A0" w:rsidP="008E54A0">
                <w:pPr>
                  <w:pStyle w:val="BodyText"/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8"/>
                    <w:szCs w:val="18"/>
                  </w:rPr>
                </w:pPr>
                <w:r w:rsidRPr="008E54A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65" w:type="dxa"/>
            <w:vAlign w:val="center"/>
          </w:tcPr>
          <w:p w14:paraId="267B9395" w14:textId="0BDCCDEC" w:rsidR="008E54A0" w:rsidRPr="008E54A0" w:rsidRDefault="008E54A0" w:rsidP="008E54A0">
            <w:pPr>
              <w:pStyle w:val="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E54A0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Consider allowing paper hand drying only in welfare facilities</w:t>
            </w:r>
            <w:r w:rsidR="002C65C2">
              <w:rPr>
                <w:rFonts w:asciiTheme="minorHAnsi" w:eastAsia="Tahoma" w:hAnsiTheme="minorHAnsi" w:cstheme="minorHAnsi"/>
                <w:sz w:val="18"/>
                <w:szCs w:val="18"/>
                <w:lang w:bidi="en-US"/>
              </w:rPr>
              <w:t>.</w:t>
            </w:r>
          </w:p>
        </w:tc>
      </w:tr>
    </w:tbl>
    <w:p w14:paraId="4FBC455B" w14:textId="77777777" w:rsidR="00772AE7" w:rsidRDefault="00772AE7" w:rsidP="008E54A0">
      <w:pPr>
        <w:pStyle w:val="BodyText"/>
      </w:pPr>
    </w:p>
    <w:sectPr w:rsidR="00772AE7" w:rsidSect="008E54A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992" w:bottom="851" w:left="993" w:header="993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ED5D1" w14:textId="77777777" w:rsidR="001673EF" w:rsidRDefault="001673EF" w:rsidP="00374DAB">
      <w:r>
        <w:separator/>
      </w:r>
    </w:p>
  </w:endnote>
  <w:endnote w:type="continuationSeparator" w:id="0">
    <w:p w14:paraId="36C1739A" w14:textId="77777777" w:rsidR="001673EF" w:rsidRDefault="001673EF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7414" w14:textId="7ED85A78" w:rsidR="00B5302C" w:rsidRPr="00B5302C" w:rsidRDefault="00B5302C" w:rsidP="00403D9B">
    <w:pPr>
      <w:pStyle w:val="Footer"/>
      <w:framePr w:w="605" w:h="274" w:hRule="exact" w:wrap="around" w:vAnchor="page" w:hAnchor="page" w:x="10801" w:y="16057" w:anchorLock="1"/>
      <w:jc w:val="right"/>
      <w:rPr>
        <w:rStyle w:val="PageNumber"/>
        <w:rFonts w:ascii="NewsGoth BT" w:hAnsi="NewsGoth BT"/>
        <w:color w:val="FFFFFF" w:themeColor="background1"/>
      </w:rPr>
    </w:pPr>
    <w:r w:rsidRPr="00B5302C">
      <w:rPr>
        <w:rStyle w:val="PageNumber"/>
        <w:rFonts w:ascii="NewsGoth BT" w:hAnsi="NewsGoth BT"/>
        <w:color w:val="FFFFFF" w:themeColor="background1"/>
      </w:rPr>
      <w:fldChar w:fldCharType="begin"/>
    </w:r>
    <w:r w:rsidRPr="00B5302C">
      <w:rPr>
        <w:rStyle w:val="PageNumber"/>
        <w:rFonts w:ascii="NewsGoth BT" w:hAnsi="NewsGoth BT"/>
        <w:color w:val="FFFFFF" w:themeColor="background1"/>
      </w:rPr>
      <w:instrText xml:space="preserve">PAGE  </w:instrText>
    </w:r>
    <w:r w:rsidRPr="00B5302C">
      <w:rPr>
        <w:rStyle w:val="PageNumber"/>
        <w:rFonts w:ascii="NewsGoth BT" w:hAnsi="NewsGoth BT"/>
        <w:color w:val="FFFFFF" w:themeColor="background1"/>
      </w:rPr>
      <w:fldChar w:fldCharType="separate"/>
    </w:r>
    <w:r w:rsidR="002C65C2">
      <w:rPr>
        <w:rStyle w:val="PageNumber"/>
        <w:rFonts w:ascii="NewsGoth BT" w:hAnsi="NewsGoth BT"/>
        <w:noProof/>
        <w:color w:val="FFFFFF" w:themeColor="background1"/>
      </w:rPr>
      <w:t>1</w:t>
    </w:r>
    <w:r w:rsidRPr="00B5302C">
      <w:rPr>
        <w:rStyle w:val="PageNumber"/>
        <w:rFonts w:ascii="NewsGoth BT" w:hAnsi="NewsGoth BT"/>
        <w:color w:val="FFFFFF" w:themeColor="background1"/>
      </w:rPr>
      <w:fldChar w:fldCharType="end"/>
    </w:r>
  </w:p>
  <w:p w14:paraId="5B8599C9" w14:textId="77777777" w:rsidR="001F557E" w:rsidRPr="008E54A0" w:rsidRDefault="001F557E" w:rsidP="001F557E">
    <w:pPr>
      <w:pStyle w:val="Footer"/>
      <w:spacing w:after="60"/>
      <w:rPr>
        <w:rFonts w:asciiTheme="minorHAnsi" w:hAnsiTheme="minorHAnsi" w:cs="Arial"/>
        <w:noProof/>
        <w:sz w:val="10"/>
        <w:szCs w:val="12"/>
      </w:rPr>
    </w:pPr>
    <w:r w:rsidRPr="008E54A0">
      <w:rPr>
        <w:rFonts w:cs="Arial"/>
        <w:color w:val="000000"/>
        <w:sz w:val="14"/>
        <w:szCs w:val="16"/>
      </w:rPr>
      <w:t>Arthur J. Gallagher Insurance Brokers Limited is authorised and regulated by the Financial Conduct Authority. Registered Office: Spectrum Building, 7</w:t>
    </w:r>
    <w:r w:rsidRPr="008E54A0">
      <w:rPr>
        <w:rFonts w:cs="Arial"/>
        <w:color w:val="000000"/>
        <w:sz w:val="14"/>
        <w:szCs w:val="16"/>
        <w:vertAlign w:val="superscript"/>
      </w:rPr>
      <w:t>th</w:t>
    </w:r>
    <w:r w:rsidRPr="008E54A0">
      <w:rPr>
        <w:rFonts w:cs="Arial"/>
        <w:color w:val="000000"/>
        <w:sz w:val="14"/>
        <w:szCs w:val="16"/>
      </w:rPr>
      <w:t xml:space="preserve"> Floor, 55 Blythswood Street, Glasgow, G2 7AT. Registered in Scotland. Company Number: SC108909. </w:t>
    </w:r>
    <w:hyperlink r:id="rId1" w:history="1">
      <w:r w:rsidRPr="008E54A0">
        <w:rPr>
          <w:rStyle w:val="Hyperlink"/>
          <w:rFonts w:cs="Arial"/>
          <w:sz w:val="14"/>
          <w:szCs w:val="16"/>
        </w:rPr>
        <w:t>www.ajginternational.com</w:t>
      </w:r>
    </w:hyperlink>
    <w:r w:rsidRPr="008E54A0">
      <w:rPr>
        <w:rFonts w:cs="Arial"/>
        <w:color w:val="000000"/>
        <w:sz w:val="14"/>
        <w:szCs w:val="16"/>
      </w:rPr>
      <w:t xml:space="preserve"> </w:t>
    </w:r>
  </w:p>
  <w:p w14:paraId="6832DB58" w14:textId="09CB7DCE" w:rsidR="00D21A68" w:rsidRPr="006A2EFE" w:rsidRDefault="00DC2B1A" w:rsidP="005F77D3">
    <w:pPr>
      <w:pStyle w:val="Footer"/>
      <w:spacing w:after="60"/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noProof/>
        <w:sz w:val="12"/>
        <w:szCs w:val="12"/>
        <w:lang w:eastAsia="en-GB"/>
      </w:rPr>
      <w:drawing>
        <wp:anchor distT="0" distB="0" distL="114300" distR="114300" simplePos="0" relativeHeight="251672576" behindDoc="1" locked="1" layoutInCell="1" allowOverlap="1" wp14:anchorId="24838FC7" wp14:editId="1496045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63240" cy="1106170"/>
          <wp:effectExtent l="0" t="0" r="3810" b="0"/>
          <wp:wrapNone/>
          <wp:docPr id="235" name="Picture 235" descr="bottom_cur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_curve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53"/>
                  <a:stretch/>
                </pic:blipFill>
                <pic:spPr bwMode="auto">
                  <a:xfrm>
                    <a:off x="0" y="0"/>
                    <a:ext cx="306324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7D3" w:rsidRPr="006A2EFE">
      <w:rPr>
        <w:rFonts w:asciiTheme="minorHAnsi" w:hAnsiTheme="minorHAnsi" w:cstheme="minorHAnsi"/>
        <w:noProof/>
        <w:sz w:val="12"/>
        <w:szCs w:val="12"/>
      </w:rPr>
      <w:t>©2018 Arthur J. Gallagher &amp; Co.</w:t>
    </w:r>
    <w:r w:rsidR="008651A8" w:rsidRPr="008651A8">
      <w:rPr>
        <w:rFonts w:asciiTheme="minorHAnsi" w:hAnsiTheme="minorHAnsi" w:cstheme="minorHAnsi"/>
        <w:noProof/>
        <w:sz w:val="12"/>
        <w:szCs w:val="12"/>
      </w:rPr>
      <w:t xml:space="preserve"> </w:t>
    </w:r>
    <w:r w:rsidR="00CC6466">
      <w:rPr>
        <w:rFonts w:asciiTheme="minorHAnsi" w:hAnsiTheme="minorHAnsi" w:cstheme="minorHAnsi"/>
        <w:noProof/>
        <w:sz w:val="12"/>
        <w:szCs w:val="12"/>
      </w:rPr>
      <w:t>All rights reserved.</w:t>
    </w:r>
    <w:r w:rsidR="008D38A0" w:rsidRPr="008D38A0">
      <w:rPr>
        <w:rFonts w:asciiTheme="minorHAnsi" w:hAnsiTheme="minorHAnsi" w:cstheme="minorHAnsi"/>
        <w:noProof/>
        <w:sz w:val="18"/>
        <w:szCs w:val="12"/>
      </w:rPr>
      <w:t xml:space="preserve"> </w:t>
    </w:r>
    <w:r w:rsidR="008D38A0">
      <w:rPr>
        <w:rFonts w:asciiTheme="minorHAnsi" w:hAnsiTheme="minorHAnsi" w:cstheme="minorHAnsi"/>
        <w:noProof/>
        <w:sz w:val="18"/>
        <w:szCs w:val="12"/>
      </w:rPr>
      <w:t xml:space="preserve">                                      </w:t>
    </w:r>
    <w:r w:rsidR="002A6092">
      <w:rPr>
        <w:rFonts w:asciiTheme="minorHAnsi" w:hAnsiTheme="minorHAnsi" w:cstheme="minorHAnsi"/>
        <w:noProof/>
        <w:sz w:val="16"/>
        <w:szCs w:val="1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115E" w14:textId="77777777" w:rsidR="001F557E" w:rsidRDefault="001F557E" w:rsidP="001F557E">
    <w:pPr>
      <w:pStyle w:val="Footer"/>
      <w:spacing w:after="60"/>
      <w:rPr>
        <w:rFonts w:asciiTheme="minorHAnsi" w:hAnsiTheme="minorHAnsi" w:cs="Arial"/>
        <w:noProof/>
        <w:sz w:val="12"/>
        <w:szCs w:val="12"/>
      </w:rPr>
    </w:pPr>
    <w:r>
      <w:rPr>
        <w:rFonts w:cs="Arial"/>
        <w:color w:val="000000"/>
        <w:sz w:val="16"/>
        <w:szCs w:val="16"/>
      </w:rPr>
      <w:t>Arthur J. Gallagher Insurance Brokers Limited is authorised and regulated by the Financial Conduct Authority. Registered Office: Spectrum Building, 7</w:t>
    </w:r>
    <w:r w:rsidRPr="003872EE">
      <w:rPr>
        <w:rFonts w:cs="Arial"/>
        <w:color w:val="000000"/>
        <w:sz w:val="16"/>
        <w:szCs w:val="16"/>
        <w:vertAlign w:val="superscript"/>
      </w:rPr>
      <w:t>th</w:t>
    </w:r>
    <w:r>
      <w:rPr>
        <w:rFonts w:cs="Arial"/>
        <w:color w:val="000000"/>
        <w:sz w:val="16"/>
        <w:szCs w:val="16"/>
      </w:rPr>
      <w:t xml:space="preserve"> Floor, 55 Blythswood Street, Glasgow, G2 7AT. Registered in Scotland. Company Number: SC108909. </w:t>
    </w:r>
    <w:hyperlink r:id="rId1" w:history="1">
      <w:r w:rsidRPr="00A0389C">
        <w:rPr>
          <w:rStyle w:val="Hyperlink"/>
          <w:rFonts w:cs="Arial"/>
          <w:sz w:val="16"/>
          <w:szCs w:val="16"/>
        </w:rPr>
        <w:t>www.ajginternational.com</w:t>
      </w:r>
    </w:hyperlink>
    <w:r>
      <w:rPr>
        <w:rFonts w:cs="Arial"/>
        <w:color w:val="000000"/>
        <w:sz w:val="16"/>
        <w:szCs w:val="16"/>
      </w:rPr>
      <w:t xml:space="preserve"> </w:t>
    </w:r>
  </w:p>
  <w:p w14:paraId="3E527081" w14:textId="77777777" w:rsidR="00BD4B32" w:rsidRDefault="00BD4B32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noProof/>
        <w:sz w:val="12"/>
        <w:szCs w:val="12"/>
      </w:rPr>
    </w:pPr>
  </w:p>
  <w:p w14:paraId="2F0269CC" w14:textId="77777777" w:rsidR="00FF0157" w:rsidRDefault="00CC6466" w:rsidP="00FF015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noProof/>
        <w:sz w:val="12"/>
        <w:szCs w:val="12"/>
      </w:rPr>
    </w:pPr>
    <w:r w:rsidRPr="006A2EFE">
      <w:rPr>
        <w:rFonts w:asciiTheme="minorHAnsi" w:hAnsiTheme="minorHAnsi" w:cstheme="minorHAnsi"/>
        <w:noProof/>
        <w:sz w:val="12"/>
        <w:szCs w:val="12"/>
      </w:rPr>
      <w:t>©2018 Arthur J. Gallagher &amp; Co.</w:t>
    </w:r>
    <w:r w:rsidRPr="008651A8">
      <w:rPr>
        <w:rFonts w:asciiTheme="minorHAnsi" w:hAnsiTheme="minorHAnsi" w:cstheme="minorHAnsi"/>
        <w:noProof/>
        <w:sz w:val="12"/>
        <w:szCs w:val="12"/>
      </w:rPr>
      <w:t xml:space="preserve"> </w:t>
    </w:r>
    <w:r>
      <w:rPr>
        <w:rFonts w:asciiTheme="minorHAnsi" w:hAnsiTheme="minorHAnsi" w:cstheme="minorHAnsi"/>
        <w:noProof/>
        <w:sz w:val="12"/>
        <w:szCs w:val="12"/>
      </w:rPr>
      <w:t>All rights reserved.</w:t>
    </w:r>
    <w:r w:rsidR="008D38A0">
      <w:rPr>
        <w:rFonts w:asciiTheme="minorHAnsi" w:hAnsiTheme="minorHAnsi" w:cstheme="minorHAnsi"/>
        <w:noProof/>
        <w:sz w:val="12"/>
        <w:szCs w:val="12"/>
      </w:rPr>
      <w:t xml:space="preserve">                 </w:t>
    </w:r>
  </w:p>
  <w:p w14:paraId="1DDDE986" w14:textId="086BBF66" w:rsidR="00A730B9" w:rsidRPr="006A2EFE" w:rsidRDefault="008D38A0" w:rsidP="00FF0157">
    <w:pPr>
      <w:pStyle w:val="Footer"/>
      <w:tabs>
        <w:tab w:val="clear" w:pos="4320"/>
        <w:tab w:val="clear" w:pos="8640"/>
        <w:tab w:val="right" w:pos="10800"/>
      </w:tabs>
      <w:spacing w:after="60"/>
      <w:jc w:val="center"/>
      <w:rPr>
        <w:rFonts w:asciiTheme="minorHAnsi" w:hAnsiTheme="minorHAnsi" w:cstheme="minorHAnsi"/>
        <w:color w:val="A6A6A6" w:themeColor="background1" w:themeShade="A6"/>
        <w:sz w:val="12"/>
        <w:szCs w:val="12"/>
      </w:rPr>
    </w:pPr>
    <w:r>
      <w:rPr>
        <w:rFonts w:asciiTheme="minorHAnsi" w:hAnsiTheme="minorHAnsi" w:cstheme="minorHAnsi"/>
        <w:noProof/>
        <w:sz w:val="12"/>
        <w:szCs w:val="12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F52A8" w14:textId="77777777" w:rsidR="001673EF" w:rsidRDefault="001673EF" w:rsidP="00374DAB">
      <w:r>
        <w:separator/>
      </w:r>
    </w:p>
  </w:footnote>
  <w:footnote w:type="continuationSeparator" w:id="0">
    <w:p w14:paraId="15D39B06" w14:textId="77777777" w:rsidR="001673EF" w:rsidRDefault="001673EF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1023A" w14:textId="35FCA0A0" w:rsidR="00DE5A78" w:rsidRPr="00954987" w:rsidRDefault="00A622A5" w:rsidP="00772AE7">
    <w:pPr>
      <w:pStyle w:val="Header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  <w:lang w:eastAsia="en-GB"/>
      </w:rPr>
      <w:drawing>
        <wp:anchor distT="0" distB="0" distL="114300" distR="114300" simplePos="0" relativeHeight="251669504" behindDoc="1" locked="1" layoutInCell="1" allowOverlap="1" wp14:anchorId="6D6BF929" wp14:editId="29F13845">
          <wp:simplePos x="0" y="0"/>
          <wp:positionH relativeFrom="page">
            <wp:posOffset>516890</wp:posOffset>
          </wp:positionH>
          <wp:positionV relativeFrom="page">
            <wp:posOffset>120015</wp:posOffset>
          </wp:positionV>
          <wp:extent cx="1379855" cy="657225"/>
          <wp:effectExtent l="0" t="0" r="0" b="0"/>
          <wp:wrapNone/>
          <wp:docPr id="234" name="Picture 234" descr="../Gallagher_wTAG_StackedLarge-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allagher_wTAG_StackedLarge-3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278A1" w14:textId="6AB5FF1C" w:rsidR="00A730B9" w:rsidRPr="00954987" w:rsidRDefault="00A730B9" w:rsidP="00954987">
    <w:pPr>
      <w:pStyle w:val="Header"/>
      <w:jc w:val="right"/>
      <w:rPr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89B59F2"/>
    <w:multiLevelType w:val="multilevel"/>
    <w:tmpl w:val="E99450BC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2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8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2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AB"/>
    <w:rsid w:val="00007EE7"/>
    <w:rsid w:val="00011521"/>
    <w:rsid w:val="000121AB"/>
    <w:rsid w:val="00014D46"/>
    <w:rsid w:val="00065F74"/>
    <w:rsid w:val="000933CC"/>
    <w:rsid w:val="000F09C6"/>
    <w:rsid w:val="000F0DFB"/>
    <w:rsid w:val="00100FD1"/>
    <w:rsid w:val="001019E5"/>
    <w:rsid w:val="00116053"/>
    <w:rsid w:val="00151E53"/>
    <w:rsid w:val="00151E79"/>
    <w:rsid w:val="001673EF"/>
    <w:rsid w:val="00181F7A"/>
    <w:rsid w:val="00184A39"/>
    <w:rsid w:val="001A450E"/>
    <w:rsid w:val="001C5153"/>
    <w:rsid w:val="001C5299"/>
    <w:rsid w:val="001D3955"/>
    <w:rsid w:val="001E120A"/>
    <w:rsid w:val="001E7659"/>
    <w:rsid w:val="001F557E"/>
    <w:rsid w:val="001F64AC"/>
    <w:rsid w:val="00201AC9"/>
    <w:rsid w:val="00224C9B"/>
    <w:rsid w:val="00237ED8"/>
    <w:rsid w:val="00260C97"/>
    <w:rsid w:val="00263375"/>
    <w:rsid w:val="00271E9E"/>
    <w:rsid w:val="00276590"/>
    <w:rsid w:val="002A3EE3"/>
    <w:rsid w:val="002A6092"/>
    <w:rsid w:val="002C29D3"/>
    <w:rsid w:val="002C4909"/>
    <w:rsid w:val="002C65C2"/>
    <w:rsid w:val="002E292B"/>
    <w:rsid w:val="002E77C1"/>
    <w:rsid w:val="0032707D"/>
    <w:rsid w:val="00341DC1"/>
    <w:rsid w:val="00345DE1"/>
    <w:rsid w:val="00374DAB"/>
    <w:rsid w:val="003C65F8"/>
    <w:rsid w:val="003D4096"/>
    <w:rsid w:val="003E319D"/>
    <w:rsid w:val="003F0A0D"/>
    <w:rsid w:val="00403D9B"/>
    <w:rsid w:val="00437FD6"/>
    <w:rsid w:val="004536F5"/>
    <w:rsid w:val="00461618"/>
    <w:rsid w:val="00471CE5"/>
    <w:rsid w:val="004724F7"/>
    <w:rsid w:val="005149ED"/>
    <w:rsid w:val="0057468A"/>
    <w:rsid w:val="00596DF5"/>
    <w:rsid w:val="005A40FF"/>
    <w:rsid w:val="005B5B11"/>
    <w:rsid w:val="005C096A"/>
    <w:rsid w:val="005C391F"/>
    <w:rsid w:val="005C3CCC"/>
    <w:rsid w:val="005D1A45"/>
    <w:rsid w:val="005D4314"/>
    <w:rsid w:val="005F1B51"/>
    <w:rsid w:val="005F5D63"/>
    <w:rsid w:val="005F77D3"/>
    <w:rsid w:val="0061767B"/>
    <w:rsid w:val="00620E73"/>
    <w:rsid w:val="00665845"/>
    <w:rsid w:val="00666B18"/>
    <w:rsid w:val="0067704C"/>
    <w:rsid w:val="006A2EFE"/>
    <w:rsid w:val="006C06D9"/>
    <w:rsid w:val="006C5C56"/>
    <w:rsid w:val="006C7475"/>
    <w:rsid w:val="006C7F9E"/>
    <w:rsid w:val="006D456C"/>
    <w:rsid w:val="006E69A4"/>
    <w:rsid w:val="00703737"/>
    <w:rsid w:val="007109CA"/>
    <w:rsid w:val="00715154"/>
    <w:rsid w:val="00747A76"/>
    <w:rsid w:val="00772AE7"/>
    <w:rsid w:val="00783748"/>
    <w:rsid w:val="00787AE8"/>
    <w:rsid w:val="007B50F7"/>
    <w:rsid w:val="007E11DC"/>
    <w:rsid w:val="007E6FFC"/>
    <w:rsid w:val="0080189E"/>
    <w:rsid w:val="008019FC"/>
    <w:rsid w:val="00820336"/>
    <w:rsid w:val="00834BF4"/>
    <w:rsid w:val="008361D0"/>
    <w:rsid w:val="008651A8"/>
    <w:rsid w:val="00871018"/>
    <w:rsid w:val="00883FA9"/>
    <w:rsid w:val="008A5FB4"/>
    <w:rsid w:val="008B4B74"/>
    <w:rsid w:val="008C261C"/>
    <w:rsid w:val="008D116D"/>
    <w:rsid w:val="008D38A0"/>
    <w:rsid w:val="008E2245"/>
    <w:rsid w:val="008E2F8A"/>
    <w:rsid w:val="008E54A0"/>
    <w:rsid w:val="008E734E"/>
    <w:rsid w:val="008F71F7"/>
    <w:rsid w:val="009052DD"/>
    <w:rsid w:val="00907BEA"/>
    <w:rsid w:val="0094368C"/>
    <w:rsid w:val="00954987"/>
    <w:rsid w:val="00960DAD"/>
    <w:rsid w:val="0097128B"/>
    <w:rsid w:val="00973192"/>
    <w:rsid w:val="009931A6"/>
    <w:rsid w:val="009D6D12"/>
    <w:rsid w:val="00A3220A"/>
    <w:rsid w:val="00A33ADD"/>
    <w:rsid w:val="00A622A5"/>
    <w:rsid w:val="00A70E15"/>
    <w:rsid w:val="00A730B9"/>
    <w:rsid w:val="00A74AF1"/>
    <w:rsid w:val="00A95F6F"/>
    <w:rsid w:val="00A97B95"/>
    <w:rsid w:val="00A97E9E"/>
    <w:rsid w:val="00AD75DC"/>
    <w:rsid w:val="00AE4504"/>
    <w:rsid w:val="00B440AB"/>
    <w:rsid w:val="00B5302C"/>
    <w:rsid w:val="00B83B22"/>
    <w:rsid w:val="00BB3CE8"/>
    <w:rsid w:val="00BD4B32"/>
    <w:rsid w:val="00C0105A"/>
    <w:rsid w:val="00C01563"/>
    <w:rsid w:val="00C41391"/>
    <w:rsid w:val="00C6414B"/>
    <w:rsid w:val="00C64761"/>
    <w:rsid w:val="00C76317"/>
    <w:rsid w:val="00CC6466"/>
    <w:rsid w:val="00CF4C15"/>
    <w:rsid w:val="00D106B6"/>
    <w:rsid w:val="00D21A68"/>
    <w:rsid w:val="00D2685A"/>
    <w:rsid w:val="00D37E91"/>
    <w:rsid w:val="00D44B42"/>
    <w:rsid w:val="00D473FF"/>
    <w:rsid w:val="00D60B45"/>
    <w:rsid w:val="00DC2B1A"/>
    <w:rsid w:val="00DD05A3"/>
    <w:rsid w:val="00DE17BA"/>
    <w:rsid w:val="00DE4882"/>
    <w:rsid w:val="00DE5A78"/>
    <w:rsid w:val="00DE799A"/>
    <w:rsid w:val="00E50EFE"/>
    <w:rsid w:val="00E838D4"/>
    <w:rsid w:val="00E94A3A"/>
    <w:rsid w:val="00EA728F"/>
    <w:rsid w:val="00EB2C57"/>
    <w:rsid w:val="00EB3A13"/>
    <w:rsid w:val="00EF4638"/>
    <w:rsid w:val="00F376A0"/>
    <w:rsid w:val="00F377F1"/>
    <w:rsid w:val="00F56E72"/>
    <w:rsid w:val="00F65E38"/>
    <w:rsid w:val="00F73688"/>
    <w:rsid w:val="00FE3EA8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9C39BD80-E73A-4A1A-B57E-F8A82C8C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772AE7"/>
    <w:pPr>
      <w:spacing w:after="120"/>
      <w:outlineLvl w:val="0"/>
    </w:pPr>
    <w:rPr>
      <w:rFonts w:asciiTheme="majorHAnsi" w:hAnsiTheme="majorHAnsi" w:cs="Arial"/>
      <w:bCs/>
      <w:color w:val="00263E"/>
      <w:sz w:val="36"/>
      <w:szCs w:val="32"/>
    </w:rPr>
  </w:style>
  <w:style w:type="paragraph" w:styleId="Heading2">
    <w:name w:val="heading 2"/>
    <w:basedOn w:val="Normal"/>
    <w:next w:val="BodyText"/>
    <w:link w:val="Heading2Char"/>
    <w:qFormat/>
    <w:rsid w:val="00772AE7"/>
    <w:pPr>
      <w:spacing w:after="120"/>
      <w:outlineLvl w:val="1"/>
    </w:pPr>
    <w:rPr>
      <w:rFonts w:asciiTheme="minorHAnsi" w:hAnsiTheme="minorHAnsi" w:cs="Arial"/>
      <w:b/>
      <w:bCs/>
      <w:iCs/>
      <w:color w:val="6FACDE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20E73"/>
    <w:pPr>
      <w:spacing w:after="360"/>
      <w:outlineLvl w:val="2"/>
    </w:pPr>
    <w:rPr>
      <w:rFonts w:cs="Arial"/>
      <w:b/>
      <w:bCs/>
      <w:color w:val="979797" w:themeColor="text2" w:themeTint="99"/>
      <w:sz w:val="2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rsid w:val="00403D9B"/>
    <w:pPr>
      <w:spacing w:after="240"/>
      <w:outlineLvl w:val="4"/>
    </w:pPr>
    <w:rPr>
      <w:bCs/>
      <w:iCs/>
      <w:noProof/>
      <w:color w:val="00263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772AE7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772AE7"/>
    <w:rPr>
      <w:rFonts w:ascii="Arial" w:eastAsia="Times New Roman" w:hAnsi="Arial"/>
      <w:szCs w:val="24"/>
      <w:lang w:val="en-GB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8D38A0"/>
    <w:rPr>
      <w:noProof w:val="0"/>
    </w:rPr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772AE7"/>
    <w:rPr>
      <w:rFonts w:asciiTheme="majorHAnsi" w:eastAsia="Times New Roman" w:hAnsiTheme="majorHAnsi" w:cs="Arial"/>
      <w:bCs/>
      <w:color w:val="00263E"/>
      <w:sz w:val="36"/>
      <w:szCs w:val="32"/>
      <w:lang w:val="en-GB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403D9B"/>
    <w:rPr>
      <w:rFonts w:ascii="Arial" w:eastAsia="Times New Roman" w:hAnsi="Arial"/>
      <w:bCs/>
      <w:iCs/>
      <w:noProof/>
      <w:color w:val="00263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772AE7"/>
    <w:rPr>
      <w:rFonts w:asciiTheme="minorHAnsi" w:eastAsia="Times New Roman" w:hAnsiTheme="minorHAnsi" w:cs="Arial"/>
      <w:b/>
      <w:bCs/>
      <w:iCs/>
      <w:color w:val="6FACDE"/>
      <w:sz w:val="2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620E73"/>
    <w:rPr>
      <w:rFonts w:ascii="Arial" w:eastAsia="Times New Roman" w:hAnsi="Arial" w:cs="Arial"/>
      <w:b/>
      <w:bCs/>
      <w:color w:val="979797" w:themeColor="text2" w:themeTint="99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D38A0"/>
    <w:pPr>
      <w:spacing w:before="20" w:after="20"/>
    </w:pPr>
    <w:rPr>
      <w:sz w:val="20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rsid w:val="00C41391"/>
    <w:pPr>
      <w:keepNext/>
      <w:spacing w:before="180" w:after="60"/>
    </w:pPr>
    <w:rPr>
      <w:rFonts w:ascii="Arial Bold" w:hAnsi="Arial Bold"/>
      <w:b/>
      <w:color w:val="6FACDE" w:themeColor="accent2"/>
      <w:sz w:val="26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B75A1D" w:themeColor="accent4" w:themeShade="BF"/>
    </w:rPr>
    <w:tblPr>
      <w:tblStyleRowBandSize w:val="1"/>
      <w:tblStyleColBandSize w:val="1"/>
      <w:tblBorders>
        <w:top w:val="single" w:sz="8" w:space="0" w:color="E07E3C" w:themeColor="accent4"/>
        <w:bottom w:val="single" w:sz="8" w:space="0" w:color="E07E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7E3C" w:themeColor="accent4"/>
          <w:left w:val="nil"/>
          <w:bottom w:val="single" w:sz="8" w:space="0" w:color="E07E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7E3C" w:themeColor="accent4"/>
          <w:left w:val="nil"/>
          <w:bottom w:val="single" w:sz="8" w:space="0" w:color="E07E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E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ECE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4" w:themeTint="BF"/>
        <w:left w:val="single" w:sz="8" w:space="0" w:color="E79E6C" w:themeColor="accent4" w:themeTint="BF"/>
        <w:bottom w:val="single" w:sz="8" w:space="0" w:color="E79E6C" w:themeColor="accent4" w:themeTint="BF"/>
        <w:right w:val="single" w:sz="8" w:space="0" w:color="E79E6C" w:themeColor="accent4" w:themeTint="BF"/>
        <w:insideH w:val="single" w:sz="8" w:space="0" w:color="E79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4" w:themeTint="BF"/>
          <w:left w:val="single" w:sz="8" w:space="0" w:color="E79E6C" w:themeColor="accent4" w:themeTint="BF"/>
          <w:bottom w:val="single" w:sz="8" w:space="0" w:color="E79E6C" w:themeColor="accent4" w:themeTint="BF"/>
          <w:right w:val="single" w:sz="8" w:space="0" w:color="E79E6C" w:themeColor="accent4" w:themeTint="BF"/>
          <w:insideH w:val="nil"/>
          <w:insideV w:val="nil"/>
        </w:tcBorders>
        <w:shd w:val="clear" w:color="auto" w:fill="E07E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4" w:themeTint="BF"/>
          <w:left w:val="single" w:sz="8" w:space="0" w:color="E79E6C" w:themeColor="accent4" w:themeTint="BF"/>
          <w:bottom w:val="single" w:sz="8" w:space="0" w:color="E79E6C" w:themeColor="accent4" w:themeTint="BF"/>
          <w:right w:val="single" w:sz="8" w:space="0" w:color="E79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EEC00" w:themeColor="accent3" w:themeTint="BF"/>
        <w:left w:val="single" w:sz="8" w:space="0" w:color="EEEC00" w:themeColor="accent3" w:themeTint="BF"/>
        <w:bottom w:val="single" w:sz="8" w:space="0" w:color="EEEC00" w:themeColor="accent3" w:themeTint="BF"/>
        <w:right w:val="single" w:sz="8" w:space="0" w:color="EEEC00" w:themeColor="accent3" w:themeTint="BF"/>
        <w:insideH w:val="single" w:sz="8" w:space="0" w:color="EEEC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EC00" w:themeColor="accent3" w:themeTint="BF"/>
          <w:left w:val="single" w:sz="8" w:space="0" w:color="EEEC00" w:themeColor="accent3" w:themeTint="BF"/>
          <w:bottom w:val="single" w:sz="8" w:space="0" w:color="EEEC00" w:themeColor="accent3" w:themeTint="BF"/>
          <w:right w:val="single" w:sz="8" w:space="0" w:color="EEEC00" w:themeColor="accent3" w:themeTint="BF"/>
          <w:insideH w:val="nil"/>
          <w:insideV w:val="nil"/>
        </w:tcBorders>
        <w:shd w:val="clear" w:color="auto" w:fill="9493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EC00" w:themeColor="accent3" w:themeTint="BF"/>
          <w:left w:val="single" w:sz="8" w:space="0" w:color="EEEC00" w:themeColor="accent3" w:themeTint="BF"/>
          <w:bottom w:val="single" w:sz="8" w:space="0" w:color="EEEC00" w:themeColor="accent3" w:themeTint="BF"/>
          <w:right w:val="single" w:sz="8" w:space="0" w:color="EEEC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A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EA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3"/>
        <w:left w:val="single" w:sz="8" w:space="0" w:color="949300" w:themeColor="accent3"/>
        <w:bottom w:val="single" w:sz="8" w:space="0" w:color="949300" w:themeColor="accent3"/>
        <w:right w:val="single" w:sz="8" w:space="0" w:color="9493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3"/>
          <w:left w:val="single" w:sz="8" w:space="0" w:color="949300" w:themeColor="accent3"/>
          <w:bottom w:val="single" w:sz="8" w:space="0" w:color="949300" w:themeColor="accent3"/>
          <w:right w:val="single" w:sz="8" w:space="0" w:color="9493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3"/>
          <w:left w:val="single" w:sz="8" w:space="0" w:color="949300" w:themeColor="accent3"/>
          <w:bottom w:val="single" w:sz="8" w:space="0" w:color="949300" w:themeColor="accent3"/>
          <w:right w:val="single" w:sz="8" w:space="0" w:color="949300" w:themeColor="accent3"/>
        </w:tcBorders>
      </w:tcPr>
    </w:tblStylePr>
    <w:tblStylePr w:type="band1Horz">
      <w:tblPr/>
      <w:tcPr>
        <w:tcBorders>
          <w:top w:val="single" w:sz="8" w:space="0" w:color="949300" w:themeColor="accent3"/>
          <w:left w:val="single" w:sz="8" w:space="0" w:color="949300" w:themeColor="accent3"/>
          <w:bottom w:val="single" w:sz="8" w:space="0" w:color="949300" w:themeColor="accent3"/>
          <w:right w:val="single" w:sz="8" w:space="0" w:color="949300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6FACDE" w:themeColor="accent2"/>
        <w:left w:val="single" w:sz="8" w:space="0" w:color="6FACDE" w:themeColor="accent2"/>
        <w:bottom w:val="single" w:sz="8" w:space="0" w:color="6FACDE" w:themeColor="accent2"/>
        <w:right w:val="single" w:sz="8" w:space="0" w:color="6FACD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2"/>
          <w:left w:val="single" w:sz="8" w:space="0" w:color="6FACDE" w:themeColor="accent2"/>
          <w:bottom w:val="single" w:sz="8" w:space="0" w:color="6FACDE" w:themeColor="accent2"/>
          <w:right w:val="single" w:sz="8" w:space="0" w:color="6FAC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2"/>
          <w:left w:val="single" w:sz="8" w:space="0" w:color="6FACDE" w:themeColor="accent2"/>
          <w:bottom w:val="single" w:sz="8" w:space="0" w:color="6FACDE" w:themeColor="accent2"/>
          <w:right w:val="single" w:sz="8" w:space="0" w:color="6FACDE" w:themeColor="accent2"/>
        </w:tcBorders>
      </w:tcPr>
    </w:tblStylePr>
    <w:tblStylePr w:type="band1Horz">
      <w:tblPr/>
      <w:tcPr>
        <w:tcBorders>
          <w:top w:val="single" w:sz="8" w:space="0" w:color="6FACDE" w:themeColor="accent2"/>
          <w:left w:val="single" w:sz="8" w:space="0" w:color="6FACDE" w:themeColor="accent2"/>
          <w:bottom w:val="single" w:sz="8" w:space="0" w:color="6FACDE" w:themeColor="accent2"/>
          <w:right w:val="single" w:sz="8" w:space="0" w:color="6FACDE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00263E" w:themeColor="accent1"/>
        <w:left w:val="single" w:sz="8" w:space="0" w:color="00263E" w:themeColor="accent1"/>
        <w:bottom w:val="single" w:sz="8" w:space="0" w:color="00263E" w:themeColor="accent1"/>
        <w:right w:val="single" w:sz="8" w:space="0" w:color="00263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3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3E" w:themeColor="accent1"/>
          <w:left w:val="single" w:sz="8" w:space="0" w:color="00263E" w:themeColor="accent1"/>
          <w:bottom w:val="single" w:sz="8" w:space="0" w:color="00263E" w:themeColor="accent1"/>
          <w:right w:val="single" w:sz="8" w:space="0" w:color="0026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3E" w:themeColor="accent1"/>
          <w:left w:val="single" w:sz="8" w:space="0" w:color="00263E" w:themeColor="accent1"/>
          <w:bottom w:val="single" w:sz="8" w:space="0" w:color="00263E" w:themeColor="accent1"/>
          <w:right w:val="single" w:sz="8" w:space="0" w:color="00263E" w:themeColor="accent1"/>
        </w:tcBorders>
      </w:tcPr>
    </w:tblStylePr>
    <w:tblStylePr w:type="band1Horz">
      <w:tblPr/>
      <w:tcPr>
        <w:tcBorders>
          <w:top w:val="single" w:sz="8" w:space="0" w:color="00263E" w:themeColor="accent1"/>
          <w:left w:val="single" w:sz="8" w:space="0" w:color="00263E" w:themeColor="accent1"/>
          <w:bottom w:val="single" w:sz="8" w:space="0" w:color="00263E" w:themeColor="accent1"/>
          <w:right w:val="single" w:sz="8" w:space="0" w:color="00263E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907B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ACDE" w:themeColor="accent2"/>
          <w:left w:val="single" w:sz="4" w:space="0" w:color="6FACDE" w:themeColor="accent2"/>
          <w:bottom w:val="single" w:sz="4" w:space="0" w:color="6FACDE" w:themeColor="accent2"/>
          <w:right w:val="single" w:sz="4" w:space="0" w:color="6FACDE" w:themeColor="accent2"/>
          <w:insideH w:val="nil"/>
          <w:insideV w:val="nil"/>
        </w:tcBorders>
        <w:shd w:val="clear" w:color="auto" w:fill="6FACDE" w:themeFill="accent2"/>
      </w:tcPr>
    </w:tblStylePr>
    <w:tblStylePr w:type="lastRow">
      <w:rPr>
        <w:b/>
        <w:bCs/>
      </w:rPr>
      <w:tblPr/>
      <w:tcPr>
        <w:tcBorders>
          <w:top w:val="double" w:sz="4" w:space="0" w:color="6FAC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paragraph" w:customStyle="1" w:styleId="NoFormatting">
    <w:name w:val="No Formatting"/>
    <w:basedOn w:val="Subtitle"/>
    <w:link w:val="NoFormattingChar"/>
    <w:qFormat/>
    <w:rsid w:val="009D6D12"/>
    <w:pPr>
      <w:numPr>
        <w:ilvl w:val="0"/>
      </w:numPr>
      <w:spacing w:after="0"/>
    </w:pPr>
    <w:rPr>
      <w:rFonts w:cstheme="minorHAnsi"/>
    </w:rPr>
  </w:style>
  <w:style w:type="table" w:customStyle="1" w:styleId="TableGrid1">
    <w:name w:val="Table Grid1"/>
    <w:basedOn w:val="TableNormal"/>
    <w:next w:val="TableGrid"/>
    <w:uiPriority w:val="39"/>
    <w:rsid w:val="009D6D1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FormattingChar">
    <w:name w:val="No Formatting Char"/>
    <w:basedOn w:val="SubtitleChar"/>
    <w:link w:val="NoFormatting"/>
    <w:rsid w:val="009D6D12"/>
    <w:rPr>
      <w:rFonts w:asciiTheme="minorHAnsi" w:eastAsiaTheme="minorEastAsia" w:hAnsiTheme="minorHAnsi" w:cstheme="minorHAnsi"/>
      <w:color w:val="5A5A5A" w:themeColor="text1" w:themeTint="A5"/>
      <w:spacing w:val="15"/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9D6D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6D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jginternationa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g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PT Palette">
      <a:dk1>
        <a:srgbClr val="000000"/>
      </a:dk1>
      <a:lt1>
        <a:srgbClr val="FFFFFF"/>
      </a:lt1>
      <a:dk2>
        <a:srgbClr val="535353"/>
      </a:dk2>
      <a:lt2>
        <a:srgbClr val="407EC9"/>
      </a:lt2>
      <a:accent1>
        <a:srgbClr val="00263E"/>
      </a:accent1>
      <a:accent2>
        <a:srgbClr val="6FACDE"/>
      </a:accent2>
      <a:accent3>
        <a:srgbClr val="949300"/>
      </a:accent3>
      <a:accent4>
        <a:srgbClr val="E07E3C"/>
      </a:accent4>
      <a:accent5>
        <a:srgbClr val="F0B323"/>
      </a:accent5>
      <a:accent6>
        <a:srgbClr val="A4C8E1"/>
      </a:accent6>
      <a:hlink>
        <a:srgbClr val="898A89"/>
      </a:hlink>
      <a:folHlink>
        <a:srgbClr val="122D42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Description0 xmlns="aba38e84-a0e7-499c-b499-e241a647658e" xsi:nil="true"/>
    <Category xmlns="aba38e84-a0e7-499c-b499-e241a647658e">
      <Value>Gallagher Templates</Value>
    </Category>
    <Intended_x0020_Use xmlns="aba38e84-a0e7-499c-b499-e241a647658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44201F670F148870C6442C070CEFD" ma:contentTypeVersion="5" ma:contentTypeDescription="Create a new document." ma:contentTypeScope="" ma:versionID="b049ae89598c4faa5fc9dd6bc8d50f6c">
  <xsd:schema xmlns:xsd="http://www.w3.org/2001/XMLSchema" xmlns:xs="http://www.w3.org/2001/XMLSchema" xmlns:p="http://schemas.microsoft.com/office/2006/metadata/properties" xmlns:ns1="http://schemas.microsoft.com/sharepoint/v3" xmlns:ns2="aba38e84-a0e7-499c-b499-e241a647658e" targetNamespace="http://schemas.microsoft.com/office/2006/metadata/properties" ma:root="true" ma:fieldsID="f96d7d69ffc1ab2e8555372ec7bbdbba" ns1:_="" ns2:_="">
    <xsd:import namespace="http://schemas.microsoft.com/sharepoint/v3"/>
    <xsd:import namespace="aba38e84-a0e7-499c-b499-e241a647658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ntended_x0020_Use" minOccurs="0"/>
                <xsd:element ref="ns2:Category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38e84-a0e7-499c-b499-e241a647658e" elementFormDefault="qualified">
    <xsd:import namespace="http://schemas.microsoft.com/office/2006/documentManagement/types"/>
    <xsd:import namespace="http://schemas.microsoft.com/office/infopath/2007/PartnerControls"/>
    <xsd:element name="Intended_x0020_Use" ma:index="10" nillable="true" ma:displayName="Intended Use" ma:format="Dropdown" ma:internalName="Intended_x0020_Use">
      <xsd:simpleType>
        <xsd:restriction base="dms:Choice">
          <xsd:enumeration value="Retail"/>
        </xsd:restriction>
      </xsd:simpleType>
    </xsd:element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Brand Bulletins Phase 1"/>
                    <xsd:enumeration value="Brand Bulletins Phase 2"/>
                    <xsd:enumeration value="Business Cards"/>
                    <xsd:enumeration value="Email Signatures"/>
                    <xsd:enumeration value="FAQs"/>
                    <xsd:enumeration value="Letterheads"/>
                    <xsd:enumeration value="Letterheads Interim"/>
                    <xsd:enumeration value="Powerpoint Templates"/>
                    <xsd:enumeration value="Gallagher FAQs"/>
                    <xsd:enumeration value="Gallagher Templates"/>
                    <xsd:enumeration value="Gallagher Rebrand Guide"/>
                    <xsd:enumeration value="Gallagher Comm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F72516-3B74-47DB-AD44-47B452A2400F}">
  <ds:schemaRefs>
    <ds:schemaRef ds:uri="http://schemas.microsoft.com/office/2006/metadata/properties"/>
    <ds:schemaRef ds:uri="aba38e84-a0e7-499c-b499-e241a64765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DB83C-D9F0-4BFF-A0C7-9367CD316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a38e84-a0e7-499c-b499-e241a6476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19F022-B751-49A5-AD0A-23530C46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David Grainger</cp:lastModifiedBy>
  <cp:revision>2</cp:revision>
  <cp:lastPrinted>2018-01-12T01:55:00Z</cp:lastPrinted>
  <dcterms:created xsi:type="dcterms:W3CDTF">2020-05-14T07:16:00Z</dcterms:created>
  <dcterms:modified xsi:type="dcterms:W3CDTF">2020-05-14T07:16:00Z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0x0101001CF44201F670F148870C6442C070CEFD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