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ayout w:type="fixed"/>
        <w:tblLook w:val="0000" w:firstRow="0" w:lastRow="0" w:firstColumn="0" w:lastColumn="0" w:noHBand="0" w:noVBand="0"/>
      </w:tblPr>
      <w:tblGrid>
        <w:gridCol w:w="9072"/>
      </w:tblGrid>
      <w:tr w:rsidR="00B95645" w:rsidRPr="00983BF5" w:rsidTr="009B4D0B">
        <w:trPr>
          <w:trHeight w:val="1119"/>
        </w:trPr>
        <w:tc>
          <w:tcPr>
            <w:tcW w:w="9072" w:type="dxa"/>
            <w:tcBorders>
              <w:top w:val="single" w:sz="4" w:space="0" w:color="auto"/>
              <w:left w:val="single" w:sz="4" w:space="0" w:color="auto"/>
              <w:bottom w:val="single" w:sz="4" w:space="0" w:color="auto"/>
              <w:right w:val="single" w:sz="4" w:space="0" w:color="auto"/>
            </w:tcBorders>
            <w:noWrap/>
            <w:vAlign w:val="center"/>
          </w:tcPr>
          <w:p w:rsidR="00B95645" w:rsidRPr="00983BF5" w:rsidRDefault="00B95645" w:rsidP="009B4D0B">
            <w:pPr>
              <w:jc w:val="center"/>
              <w:rPr>
                <w:rFonts w:ascii="Arial" w:hAnsi="Arial" w:cs="Arial"/>
                <w:sz w:val="22"/>
                <w:szCs w:val="22"/>
              </w:rPr>
            </w:pPr>
            <w:bookmarkStart w:id="0" w:name="_GoBack"/>
            <w:bookmarkEnd w:id="0"/>
            <w:r w:rsidRPr="00983BF5">
              <w:rPr>
                <w:rFonts w:ascii="Arial" w:hAnsi="Arial" w:cs="Arial"/>
                <w:sz w:val="22"/>
                <w:szCs w:val="22"/>
              </w:rPr>
              <w:br w:type="page"/>
            </w:r>
            <w:r>
              <w:rPr>
                <w:rFonts w:ascii="Arial" w:hAnsi="Arial" w:cs="Arial"/>
                <w:b/>
                <w:sz w:val="22"/>
                <w:szCs w:val="22"/>
              </w:rPr>
              <w:t>Checklist: HR Sickness Monitoring</w:t>
            </w:r>
          </w:p>
        </w:tc>
      </w:tr>
    </w:tbl>
    <w:p w:rsidR="00B95645" w:rsidRDefault="00B95645" w:rsidP="00B95645">
      <w:pPr>
        <w:rPr>
          <w:rFonts w:ascii="Arial" w:hAnsi="Arial" w:cs="Arial"/>
          <w:sz w:val="22"/>
          <w:szCs w:val="22"/>
        </w:rPr>
      </w:pPr>
    </w:p>
    <w:p w:rsidR="00B95645" w:rsidRDefault="00B95645" w:rsidP="00B95645">
      <w:pPr>
        <w:rPr>
          <w:rFonts w:ascii="Arial" w:hAnsi="Arial" w:cs="Arial"/>
          <w:sz w:val="22"/>
          <w:szCs w:val="22"/>
        </w:rPr>
      </w:pPr>
      <w:r w:rsidRPr="00A14A83">
        <w:rPr>
          <w:rFonts w:ascii="Arial" w:hAnsi="Arial" w:cs="Arial"/>
          <w:sz w:val="22"/>
          <w:szCs w:val="22"/>
        </w:rPr>
        <w:t xml:space="preserve">It is important when monitoring employees’ sickness levels that the relevant Data Protection legislation is complied with.  Holding an employee’s sickness record is deemed to involve the processing of sensitive personal data.  </w:t>
      </w:r>
      <w:proofErr w:type="gramStart"/>
      <w:r w:rsidRPr="00A14A83">
        <w:rPr>
          <w:rFonts w:ascii="Arial" w:hAnsi="Arial" w:cs="Arial"/>
          <w:sz w:val="22"/>
          <w:szCs w:val="22"/>
        </w:rPr>
        <w:t>Therefore</w:t>
      </w:r>
      <w:proofErr w:type="gramEnd"/>
      <w:r w:rsidRPr="00A14A83">
        <w:rPr>
          <w:rFonts w:ascii="Arial" w:hAnsi="Arial" w:cs="Arial"/>
          <w:sz w:val="22"/>
          <w:szCs w:val="22"/>
        </w:rPr>
        <w:t xml:space="preserve"> employers must satisfy one of the three conditions for processing sensitive personal data.  These are:</w:t>
      </w:r>
    </w:p>
    <w:p w:rsidR="00B95645" w:rsidRPr="00A14A83" w:rsidRDefault="00B95645" w:rsidP="00B95645">
      <w:pPr>
        <w:rPr>
          <w:rFonts w:ascii="Arial" w:hAnsi="Arial" w:cs="Arial"/>
          <w:sz w:val="22"/>
          <w:szCs w:val="22"/>
        </w:rPr>
      </w:pPr>
    </w:p>
    <w:p w:rsidR="00B95645" w:rsidRPr="00A14A83" w:rsidRDefault="00B95645" w:rsidP="00B95645">
      <w:pPr>
        <w:numPr>
          <w:ilvl w:val="0"/>
          <w:numId w:val="7"/>
        </w:numPr>
        <w:rPr>
          <w:rFonts w:ascii="Arial" w:hAnsi="Arial" w:cs="Arial"/>
          <w:sz w:val="22"/>
          <w:szCs w:val="22"/>
        </w:rPr>
      </w:pPr>
      <w:r w:rsidRPr="00A14A83">
        <w:rPr>
          <w:rFonts w:ascii="Arial" w:hAnsi="Arial" w:cs="Arial"/>
          <w:sz w:val="22"/>
          <w:szCs w:val="22"/>
        </w:rPr>
        <w:t>The collecting of health information is necessary to protect health and safety; or</w:t>
      </w:r>
    </w:p>
    <w:p w:rsidR="00B95645" w:rsidRPr="00A14A83" w:rsidRDefault="00B95645" w:rsidP="00B95645">
      <w:pPr>
        <w:numPr>
          <w:ilvl w:val="0"/>
          <w:numId w:val="7"/>
        </w:numPr>
        <w:rPr>
          <w:rFonts w:ascii="Arial" w:hAnsi="Arial" w:cs="Arial"/>
          <w:sz w:val="22"/>
          <w:szCs w:val="22"/>
        </w:rPr>
      </w:pPr>
      <w:r w:rsidRPr="00A14A83">
        <w:rPr>
          <w:rFonts w:ascii="Arial" w:hAnsi="Arial" w:cs="Arial"/>
          <w:sz w:val="22"/>
          <w:szCs w:val="22"/>
        </w:rPr>
        <w:t>The collection is necessary to prevent discrimination on the grounds of disability; or</w:t>
      </w:r>
    </w:p>
    <w:p w:rsidR="00B95645" w:rsidRPr="00A14A83" w:rsidRDefault="00B95645" w:rsidP="00B95645">
      <w:pPr>
        <w:numPr>
          <w:ilvl w:val="0"/>
          <w:numId w:val="7"/>
        </w:numPr>
        <w:rPr>
          <w:rFonts w:ascii="Arial" w:hAnsi="Arial" w:cs="Arial"/>
          <w:sz w:val="22"/>
          <w:szCs w:val="22"/>
        </w:rPr>
      </w:pPr>
      <w:r w:rsidRPr="00A14A83">
        <w:rPr>
          <w:rFonts w:ascii="Arial" w:hAnsi="Arial" w:cs="Arial"/>
          <w:sz w:val="22"/>
          <w:szCs w:val="22"/>
        </w:rPr>
        <w:t>Each worker affected has freely given his or her explicit consent.</w:t>
      </w:r>
    </w:p>
    <w:p w:rsidR="00B95645" w:rsidRPr="00A14A83" w:rsidRDefault="00B95645" w:rsidP="00B95645">
      <w:pPr>
        <w:rPr>
          <w:rFonts w:ascii="Arial" w:hAnsi="Arial" w:cs="Arial"/>
          <w:sz w:val="22"/>
          <w:szCs w:val="22"/>
        </w:rPr>
      </w:pPr>
    </w:p>
    <w:p w:rsidR="00B95645" w:rsidRDefault="00B95645" w:rsidP="00B95645">
      <w:pPr>
        <w:rPr>
          <w:rFonts w:ascii="Arial" w:hAnsi="Arial" w:cs="Arial"/>
          <w:sz w:val="22"/>
          <w:szCs w:val="22"/>
        </w:rPr>
      </w:pPr>
      <w:r w:rsidRPr="00A14A83">
        <w:rPr>
          <w:rFonts w:ascii="Arial" w:hAnsi="Arial" w:cs="Arial"/>
          <w:sz w:val="22"/>
          <w:szCs w:val="22"/>
        </w:rPr>
        <w:t>As the first two points will rarely apply, it is recommended that the employee</w:t>
      </w:r>
      <w:r>
        <w:rPr>
          <w:rFonts w:ascii="Arial" w:hAnsi="Arial" w:cs="Arial"/>
          <w:sz w:val="22"/>
          <w:szCs w:val="22"/>
        </w:rPr>
        <w:t>’</w:t>
      </w:r>
      <w:r w:rsidRPr="00A14A83">
        <w:rPr>
          <w:rFonts w:ascii="Arial" w:hAnsi="Arial" w:cs="Arial"/>
          <w:sz w:val="22"/>
          <w:szCs w:val="22"/>
        </w:rPr>
        <w:t>s Terms and Conditions of Employment contain a clause providing for such consent.  Alternatively a separate consent form can be given to the employee,</w:t>
      </w:r>
      <w:r>
        <w:rPr>
          <w:rFonts w:ascii="Arial" w:hAnsi="Arial" w:cs="Arial"/>
          <w:sz w:val="22"/>
          <w:szCs w:val="22"/>
        </w:rPr>
        <w:t xml:space="preserve"> </w:t>
      </w:r>
      <w:r w:rsidRPr="00A14A83">
        <w:rPr>
          <w:rFonts w:ascii="Arial" w:hAnsi="Arial" w:cs="Arial"/>
          <w:sz w:val="22"/>
          <w:szCs w:val="22"/>
        </w:rPr>
        <w:t xml:space="preserve">a copy of which can be found at </w:t>
      </w:r>
      <w:hyperlink r:id="rId8" w:history="1">
        <w:r w:rsidRPr="00A14A83">
          <w:rPr>
            <w:rStyle w:val="Hyperlink"/>
            <w:rFonts w:ascii="Arial" w:hAnsi="Arial" w:cs="Arial"/>
            <w:i/>
            <w:sz w:val="22"/>
            <w:szCs w:val="22"/>
          </w:rPr>
          <w:t>Sicknes</w:t>
        </w:r>
        <w:r w:rsidRPr="00A14A83">
          <w:rPr>
            <w:rStyle w:val="Hyperlink"/>
            <w:rFonts w:ascii="Arial" w:hAnsi="Arial" w:cs="Arial"/>
            <w:i/>
            <w:sz w:val="22"/>
            <w:szCs w:val="22"/>
          </w:rPr>
          <w:t>s</w:t>
        </w:r>
        <w:r w:rsidRPr="00A14A83">
          <w:rPr>
            <w:rStyle w:val="Hyperlink"/>
            <w:rFonts w:ascii="Arial" w:hAnsi="Arial" w:cs="Arial"/>
            <w:i/>
            <w:sz w:val="22"/>
            <w:szCs w:val="22"/>
          </w:rPr>
          <w:t xml:space="preserve"> and Absence subfolder</w:t>
        </w:r>
      </w:hyperlink>
      <w:r w:rsidRPr="00A14A83">
        <w:rPr>
          <w:rFonts w:ascii="Arial" w:hAnsi="Arial" w:cs="Arial"/>
          <w:sz w:val="22"/>
          <w:szCs w:val="22"/>
        </w:rPr>
        <w:t>.</w:t>
      </w:r>
    </w:p>
    <w:p w:rsidR="00B95645" w:rsidRDefault="00B95645" w:rsidP="00B95645">
      <w:pPr>
        <w:rPr>
          <w:rFonts w:ascii="Arial" w:hAnsi="Arial" w:cs="Arial"/>
          <w:sz w:val="22"/>
          <w:szCs w:val="22"/>
        </w:rPr>
      </w:pPr>
    </w:p>
    <w:p w:rsidR="00B95645" w:rsidRPr="00F22C22" w:rsidRDefault="00B95645" w:rsidP="00B95645">
      <w:pPr>
        <w:rPr>
          <w:rFonts w:ascii="Arial" w:hAnsi="Arial" w:cs="Arial"/>
          <w:sz w:val="22"/>
          <w:szCs w:val="22"/>
          <w:u w:val="single"/>
        </w:rPr>
      </w:pPr>
    </w:p>
    <w:p w:rsidR="00B95645" w:rsidRPr="00F22C22" w:rsidRDefault="00B95645" w:rsidP="00B95645">
      <w:pPr>
        <w:rPr>
          <w:rFonts w:ascii="Arial" w:hAnsi="Arial" w:cs="Arial"/>
          <w:b/>
          <w:sz w:val="22"/>
          <w:szCs w:val="22"/>
          <w:u w:val="single"/>
        </w:rPr>
      </w:pPr>
      <w:r w:rsidRPr="00F22C22">
        <w:rPr>
          <w:rFonts w:ascii="Arial" w:hAnsi="Arial" w:cs="Arial"/>
          <w:b/>
          <w:sz w:val="22"/>
          <w:szCs w:val="22"/>
          <w:u w:val="single"/>
        </w:rPr>
        <w:t>Trigger points</w:t>
      </w:r>
    </w:p>
    <w:p w:rsidR="00B95645" w:rsidRPr="00F22C22" w:rsidRDefault="00B95645" w:rsidP="00B95645">
      <w:pPr>
        <w:rPr>
          <w:rFonts w:ascii="Arial" w:hAnsi="Arial" w:cs="Arial"/>
          <w:sz w:val="22"/>
          <w:szCs w:val="22"/>
        </w:rPr>
      </w:pPr>
    </w:p>
    <w:p w:rsidR="00B95645" w:rsidRDefault="00B95645" w:rsidP="00B95645">
      <w:pPr>
        <w:rPr>
          <w:rFonts w:ascii="Arial" w:hAnsi="Arial" w:cs="Arial"/>
          <w:sz w:val="22"/>
          <w:szCs w:val="22"/>
        </w:rPr>
      </w:pPr>
      <w:r>
        <w:rPr>
          <w:rFonts w:ascii="Arial" w:hAnsi="Arial" w:cs="Arial"/>
          <w:sz w:val="22"/>
          <w:szCs w:val="22"/>
        </w:rPr>
        <w:t>It is helpful for employers to use t</w:t>
      </w:r>
      <w:r w:rsidRPr="00F22C22">
        <w:rPr>
          <w:rFonts w:ascii="Arial" w:hAnsi="Arial" w:cs="Arial"/>
          <w:sz w:val="22"/>
          <w:szCs w:val="22"/>
        </w:rPr>
        <w:t>rigger points to highlight levels or patterns of sickness absence that require further attention, and to determine where and when action by managers (e.g. employee interview or review of absences) may be beneficial. Typical triggers include:</w:t>
      </w:r>
    </w:p>
    <w:p w:rsidR="00B95645" w:rsidRPr="00F22C22" w:rsidRDefault="00B95645" w:rsidP="00B95645">
      <w:pPr>
        <w:rPr>
          <w:rFonts w:ascii="Arial" w:hAnsi="Arial" w:cs="Arial"/>
          <w:sz w:val="22"/>
          <w:szCs w:val="22"/>
        </w:rPr>
      </w:pPr>
    </w:p>
    <w:p w:rsidR="00B95645" w:rsidRPr="00F22C22" w:rsidRDefault="00B95645" w:rsidP="00B95645">
      <w:pPr>
        <w:numPr>
          <w:ilvl w:val="0"/>
          <w:numId w:val="8"/>
        </w:numPr>
        <w:rPr>
          <w:rFonts w:ascii="Arial" w:hAnsi="Arial" w:cs="Arial"/>
          <w:sz w:val="22"/>
          <w:szCs w:val="22"/>
        </w:rPr>
      </w:pPr>
      <w:r w:rsidRPr="00F22C22">
        <w:rPr>
          <w:rFonts w:ascii="Arial" w:hAnsi="Arial" w:cs="Arial"/>
          <w:sz w:val="22"/>
          <w:szCs w:val="22"/>
        </w:rPr>
        <w:t>Cumulative numbers of days absence in a set period (e.g. absences for more than 10 days in 12 months</w:t>
      </w:r>
      <w:r>
        <w:rPr>
          <w:rFonts w:ascii="Arial" w:hAnsi="Arial" w:cs="Arial"/>
          <w:sz w:val="22"/>
          <w:szCs w:val="22"/>
        </w:rPr>
        <w:t>)</w:t>
      </w:r>
      <w:r w:rsidRPr="00F22C22">
        <w:rPr>
          <w:rFonts w:ascii="Arial" w:hAnsi="Arial" w:cs="Arial"/>
          <w:sz w:val="22"/>
          <w:szCs w:val="22"/>
        </w:rPr>
        <w:t xml:space="preserve"> </w:t>
      </w:r>
    </w:p>
    <w:p w:rsidR="00B95645" w:rsidRPr="00F22C22" w:rsidRDefault="00B95645" w:rsidP="00B95645">
      <w:pPr>
        <w:numPr>
          <w:ilvl w:val="0"/>
          <w:numId w:val="8"/>
        </w:numPr>
        <w:rPr>
          <w:rFonts w:ascii="Arial" w:hAnsi="Arial" w:cs="Arial"/>
          <w:sz w:val="22"/>
          <w:szCs w:val="22"/>
        </w:rPr>
      </w:pPr>
      <w:r w:rsidRPr="00F22C22">
        <w:rPr>
          <w:rFonts w:ascii="Arial" w:hAnsi="Arial" w:cs="Arial"/>
          <w:sz w:val="22"/>
          <w:szCs w:val="22"/>
        </w:rPr>
        <w:t xml:space="preserve">Number of spells </w:t>
      </w:r>
      <w:r>
        <w:rPr>
          <w:rFonts w:ascii="Arial" w:hAnsi="Arial" w:cs="Arial"/>
          <w:sz w:val="22"/>
          <w:szCs w:val="22"/>
        </w:rPr>
        <w:t xml:space="preserve">of absence </w:t>
      </w:r>
      <w:r w:rsidRPr="00F22C22">
        <w:rPr>
          <w:rFonts w:ascii="Arial" w:hAnsi="Arial" w:cs="Arial"/>
          <w:sz w:val="22"/>
          <w:szCs w:val="22"/>
        </w:rPr>
        <w:t>in a set period (e.g. 3 spells of absence in a 6-month period)</w:t>
      </w:r>
    </w:p>
    <w:p w:rsidR="00B95645" w:rsidRPr="00F22C22" w:rsidRDefault="00B95645" w:rsidP="00B95645">
      <w:pPr>
        <w:numPr>
          <w:ilvl w:val="0"/>
          <w:numId w:val="8"/>
        </w:numPr>
        <w:rPr>
          <w:rFonts w:ascii="Arial" w:hAnsi="Arial" w:cs="Arial"/>
          <w:sz w:val="22"/>
          <w:szCs w:val="22"/>
        </w:rPr>
      </w:pPr>
      <w:r w:rsidRPr="00F22C22">
        <w:rPr>
          <w:rFonts w:ascii="Arial" w:hAnsi="Arial" w:cs="Arial"/>
          <w:sz w:val="22"/>
          <w:szCs w:val="22"/>
        </w:rPr>
        <w:t>Pattern-related sickness-absence (e.g. a tendency to be off on Fridays or Mondays; sickness absence taken immediately before or after annual or public holidays)</w:t>
      </w:r>
    </w:p>
    <w:p w:rsidR="00B95645" w:rsidRDefault="00B95645" w:rsidP="00B95645">
      <w:pPr>
        <w:rPr>
          <w:rFonts w:ascii="Arial" w:hAnsi="Arial" w:cs="Arial"/>
          <w:sz w:val="22"/>
          <w:szCs w:val="22"/>
        </w:rPr>
      </w:pPr>
    </w:p>
    <w:p w:rsidR="00B95645" w:rsidRDefault="00B95645" w:rsidP="00B95645">
      <w:pPr>
        <w:rPr>
          <w:rFonts w:ascii="Arial" w:hAnsi="Arial" w:cs="Arial"/>
          <w:sz w:val="22"/>
          <w:szCs w:val="22"/>
        </w:rPr>
      </w:pPr>
      <w:r>
        <w:rPr>
          <w:rFonts w:ascii="Arial" w:hAnsi="Arial" w:cs="Arial"/>
          <w:sz w:val="22"/>
          <w:szCs w:val="22"/>
        </w:rPr>
        <w:t>If the employee has been, or is likely to be, absent by reason of sickness or injury for four weeks or more, the employer can refer the employee (with his or her consent) to the Fit for Work occupational health assessment service and so it is advisable for employers to build in a trigger point for review at that stage (see below).</w:t>
      </w:r>
    </w:p>
    <w:p w:rsidR="00B95645" w:rsidRDefault="00B95645" w:rsidP="00B95645">
      <w:pPr>
        <w:rPr>
          <w:rFonts w:ascii="Arial" w:hAnsi="Arial" w:cs="Arial"/>
          <w:sz w:val="22"/>
          <w:szCs w:val="22"/>
        </w:rPr>
      </w:pPr>
    </w:p>
    <w:p w:rsidR="00B95645" w:rsidRPr="007937E1" w:rsidRDefault="00B95645" w:rsidP="00B95645">
      <w:pPr>
        <w:rPr>
          <w:rFonts w:ascii="Arial" w:hAnsi="Arial" w:cs="Arial"/>
          <w:b/>
          <w:sz w:val="22"/>
          <w:szCs w:val="22"/>
          <w:u w:val="single"/>
        </w:rPr>
      </w:pPr>
      <w:r>
        <w:rPr>
          <w:rFonts w:ascii="Arial" w:hAnsi="Arial" w:cs="Arial"/>
          <w:b/>
          <w:sz w:val="22"/>
          <w:szCs w:val="22"/>
          <w:u w:val="single"/>
        </w:rPr>
        <w:t>General Sickness:</w:t>
      </w:r>
    </w:p>
    <w:p w:rsidR="00B95645" w:rsidRDefault="00B95645" w:rsidP="00B95645">
      <w:pPr>
        <w:rPr>
          <w:rFonts w:ascii="Arial" w:hAnsi="Arial" w:cs="Arial"/>
          <w:sz w:val="22"/>
          <w:szCs w:val="22"/>
        </w:rPr>
      </w:pPr>
    </w:p>
    <w:p w:rsidR="00B95645" w:rsidRDefault="00B95645" w:rsidP="00B95645">
      <w:pPr>
        <w:numPr>
          <w:ilvl w:val="0"/>
          <w:numId w:val="4"/>
        </w:numPr>
        <w:rPr>
          <w:rFonts w:ascii="Arial" w:hAnsi="Arial" w:cs="Arial"/>
          <w:sz w:val="22"/>
          <w:szCs w:val="22"/>
        </w:rPr>
      </w:pPr>
      <w:r>
        <w:rPr>
          <w:rFonts w:ascii="Arial" w:hAnsi="Arial" w:cs="Arial"/>
          <w:sz w:val="22"/>
          <w:szCs w:val="22"/>
        </w:rPr>
        <w:t>Did the employee follow the Company’s sickness notification procedure?</w:t>
      </w:r>
    </w:p>
    <w:p w:rsidR="00B95645" w:rsidRDefault="00B95645" w:rsidP="00B95645">
      <w:pPr>
        <w:rPr>
          <w:rFonts w:ascii="Arial" w:hAnsi="Arial" w:cs="Arial"/>
          <w:sz w:val="22"/>
          <w:szCs w:val="22"/>
        </w:rPr>
      </w:pPr>
    </w:p>
    <w:p w:rsidR="00B95645" w:rsidRDefault="00B95645" w:rsidP="00B95645">
      <w:pPr>
        <w:numPr>
          <w:ilvl w:val="0"/>
          <w:numId w:val="4"/>
        </w:numPr>
        <w:rPr>
          <w:rFonts w:ascii="Arial" w:hAnsi="Arial" w:cs="Arial"/>
          <w:sz w:val="22"/>
          <w:szCs w:val="22"/>
        </w:rPr>
      </w:pPr>
      <w:r>
        <w:rPr>
          <w:rFonts w:ascii="Arial" w:hAnsi="Arial" w:cs="Arial"/>
          <w:sz w:val="22"/>
          <w:szCs w:val="22"/>
        </w:rPr>
        <w:t>If the sickness-related absence is for fewer than seven days, did the employee provide the Company with the Company’s sickness self-certification form?</w:t>
      </w:r>
    </w:p>
    <w:p w:rsidR="00B95645" w:rsidRDefault="00B95645" w:rsidP="00B95645">
      <w:pPr>
        <w:rPr>
          <w:rFonts w:ascii="Arial" w:hAnsi="Arial" w:cs="Arial"/>
          <w:sz w:val="22"/>
          <w:szCs w:val="22"/>
        </w:rPr>
      </w:pPr>
    </w:p>
    <w:p w:rsidR="00B95645" w:rsidRDefault="00B95645" w:rsidP="00B95645">
      <w:pPr>
        <w:numPr>
          <w:ilvl w:val="0"/>
          <w:numId w:val="4"/>
        </w:numPr>
        <w:rPr>
          <w:rFonts w:ascii="Arial" w:hAnsi="Arial" w:cs="Arial"/>
          <w:sz w:val="22"/>
          <w:szCs w:val="22"/>
        </w:rPr>
      </w:pPr>
      <w:r>
        <w:rPr>
          <w:rFonts w:ascii="Arial" w:hAnsi="Arial" w:cs="Arial"/>
          <w:sz w:val="22"/>
          <w:szCs w:val="22"/>
        </w:rPr>
        <w:t>If the sickness-related absence is for more than seven days, did the employee provide the Company with a medical certificate or ‘fit note’?</w:t>
      </w:r>
    </w:p>
    <w:p w:rsidR="00B95645" w:rsidRDefault="00B95645" w:rsidP="00B95645">
      <w:pPr>
        <w:rPr>
          <w:rFonts w:ascii="Arial" w:hAnsi="Arial" w:cs="Arial"/>
          <w:sz w:val="22"/>
          <w:szCs w:val="22"/>
        </w:rPr>
      </w:pPr>
    </w:p>
    <w:p w:rsidR="00B95645" w:rsidRDefault="00B95645" w:rsidP="00B95645">
      <w:pPr>
        <w:numPr>
          <w:ilvl w:val="0"/>
          <w:numId w:val="4"/>
        </w:numPr>
        <w:rPr>
          <w:rFonts w:ascii="Arial" w:hAnsi="Arial" w:cs="Arial"/>
          <w:sz w:val="22"/>
          <w:szCs w:val="22"/>
        </w:rPr>
      </w:pPr>
      <w:r>
        <w:rPr>
          <w:rFonts w:ascii="Arial" w:hAnsi="Arial" w:cs="Arial"/>
          <w:sz w:val="22"/>
          <w:szCs w:val="22"/>
        </w:rPr>
        <w:t>For sickness absence over four days and where the employee is entitled to Statutory Sick Pay, has the statutory Form SC2 or the Company’s equivalent been completed?</w:t>
      </w:r>
    </w:p>
    <w:p w:rsidR="00B95645" w:rsidRDefault="00B95645" w:rsidP="00B95645">
      <w:pPr>
        <w:rPr>
          <w:rFonts w:ascii="Arial" w:hAnsi="Arial" w:cs="Arial"/>
          <w:sz w:val="22"/>
          <w:szCs w:val="22"/>
        </w:rPr>
      </w:pPr>
    </w:p>
    <w:p w:rsidR="00B95645" w:rsidRDefault="00B95645" w:rsidP="00B95645">
      <w:pPr>
        <w:numPr>
          <w:ilvl w:val="0"/>
          <w:numId w:val="4"/>
        </w:numPr>
        <w:rPr>
          <w:rFonts w:ascii="Arial" w:hAnsi="Arial" w:cs="Arial"/>
          <w:sz w:val="22"/>
          <w:szCs w:val="22"/>
        </w:rPr>
      </w:pPr>
      <w:r>
        <w:rPr>
          <w:rFonts w:ascii="Arial" w:hAnsi="Arial" w:cs="Arial"/>
          <w:sz w:val="22"/>
          <w:szCs w:val="22"/>
        </w:rPr>
        <w:t>Has the employees’ sickness record been updated with the latest period of sickness?</w:t>
      </w:r>
    </w:p>
    <w:p w:rsidR="00B95645" w:rsidRDefault="00B95645" w:rsidP="00B95645">
      <w:pPr>
        <w:rPr>
          <w:rFonts w:ascii="Arial" w:hAnsi="Arial" w:cs="Arial"/>
          <w:sz w:val="22"/>
          <w:szCs w:val="22"/>
        </w:rPr>
      </w:pPr>
    </w:p>
    <w:p w:rsidR="00B95645" w:rsidRDefault="00B95645" w:rsidP="00B95645">
      <w:pPr>
        <w:numPr>
          <w:ilvl w:val="0"/>
          <w:numId w:val="4"/>
        </w:numPr>
        <w:rPr>
          <w:rFonts w:ascii="Arial" w:hAnsi="Arial" w:cs="Arial"/>
          <w:sz w:val="22"/>
          <w:szCs w:val="22"/>
        </w:rPr>
      </w:pPr>
      <w:r>
        <w:rPr>
          <w:rFonts w:ascii="Arial" w:hAnsi="Arial" w:cs="Arial"/>
          <w:sz w:val="22"/>
          <w:szCs w:val="22"/>
        </w:rPr>
        <w:t xml:space="preserve">If illness is </w:t>
      </w:r>
      <w:r w:rsidRPr="002C3B1E">
        <w:rPr>
          <w:rFonts w:ascii="Arial" w:hAnsi="Arial" w:cs="Arial"/>
          <w:sz w:val="22"/>
          <w:szCs w:val="22"/>
        </w:rPr>
        <w:t xml:space="preserve">over </w:t>
      </w:r>
      <w:r w:rsidRPr="00B95645">
        <w:rPr>
          <w:rFonts w:ascii="Arial" w:hAnsi="Arial" w:cs="Arial"/>
          <w:sz w:val="22"/>
          <w:szCs w:val="22"/>
          <w:highlight w:val="lightGray"/>
        </w:rPr>
        <w:t>&lt;&lt;specify number&gt;&gt;</w:t>
      </w:r>
      <w:r>
        <w:rPr>
          <w:rFonts w:ascii="Arial" w:hAnsi="Arial" w:cs="Arial"/>
          <w:sz w:val="22"/>
          <w:szCs w:val="22"/>
        </w:rPr>
        <w:t xml:space="preserve"> days has a return to work interview been arranged? </w:t>
      </w:r>
      <w:r>
        <w:rPr>
          <w:rFonts w:ascii="Arial" w:hAnsi="Arial" w:cs="Arial"/>
          <w:i/>
          <w:sz w:val="22"/>
          <w:szCs w:val="22"/>
        </w:rPr>
        <w:t xml:space="preserve">See </w:t>
      </w:r>
      <w:hyperlink r:id="rId9" w:history="1">
        <w:r w:rsidRPr="00B95645">
          <w:rPr>
            <w:rStyle w:val="Hyperlink"/>
            <w:rFonts w:ascii="Arial" w:hAnsi="Arial" w:cs="Arial"/>
            <w:i/>
            <w:sz w:val="22"/>
            <w:szCs w:val="22"/>
          </w:rPr>
          <w:t>Guidance Notes: Return to Work Interviews and Risk Assessments</w:t>
        </w:r>
      </w:hyperlink>
      <w:r>
        <w:rPr>
          <w:rFonts w:ascii="Arial" w:hAnsi="Arial" w:cs="Arial"/>
          <w:i/>
          <w:sz w:val="22"/>
          <w:szCs w:val="22"/>
        </w:rPr>
        <w:t>.</w:t>
      </w:r>
    </w:p>
    <w:p w:rsidR="00B95645" w:rsidRDefault="00B95645" w:rsidP="00B95645">
      <w:pPr>
        <w:rPr>
          <w:rFonts w:ascii="Arial" w:hAnsi="Arial" w:cs="Arial"/>
          <w:sz w:val="22"/>
          <w:szCs w:val="22"/>
        </w:rPr>
      </w:pPr>
    </w:p>
    <w:p w:rsidR="00B95645" w:rsidRPr="007937E1" w:rsidRDefault="00B95645" w:rsidP="00B95645">
      <w:pPr>
        <w:numPr>
          <w:ilvl w:val="0"/>
          <w:numId w:val="4"/>
        </w:numPr>
        <w:rPr>
          <w:rFonts w:ascii="Arial" w:hAnsi="Arial" w:cs="Arial"/>
          <w:sz w:val="22"/>
          <w:szCs w:val="22"/>
        </w:rPr>
      </w:pPr>
      <w:r>
        <w:rPr>
          <w:rFonts w:ascii="Arial" w:hAnsi="Arial" w:cs="Arial"/>
          <w:sz w:val="22"/>
          <w:szCs w:val="22"/>
        </w:rPr>
        <w:t xml:space="preserve">Has a return to work form been completed? </w:t>
      </w:r>
      <w:r w:rsidRPr="00FA01FD">
        <w:rPr>
          <w:rFonts w:ascii="Arial" w:hAnsi="Arial" w:cs="Arial"/>
          <w:i/>
          <w:sz w:val="22"/>
          <w:szCs w:val="22"/>
        </w:rPr>
        <w:t>See</w:t>
      </w:r>
      <w:r>
        <w:rPr>
          <w:rFonts w:ascii="Arial" w:hAnsi="Arial" w:cs="Arial"/>
          <w:sz w:val="22"/>
          <w:szCs w:val="22"/>
        </w:rPr>
        <w:t xml:space="preserve"> </w:t>
      </w:r>
      <w:hyperlink r:id="rId10" w:history="1">
        <w:r w:rsidRPr="00B95645">
          <w:rPr>
            <w:rStyle w:val="Hyperlink"/>
            <w:rFonts w:ascii="Arial" w:hAnsi="Arial" w:cs="Arial"/>
            <w:i/>
            <w:sz w:val="22"/>
            <w:szCs w:val="22"/>
          </w:rPr>
          <w:t>Absence and Return to Work Form</w:t>
        </w:r>
      </w:hyperlink>
      <w:r>
        <w:rPr>
          <w:rFonts w:ascii="Arial" w:hAnsi="Arial" w:cs="Arial"/>
          <w:i/>
          <w:sz w:val="22"/>
          <w:szCs w:val="22"/>
        </w:rPr>
        <w:t>.</w:t>
      </w:r>
    </w:p>
    <w:p w:rsidR="00B95645" w:rsidRDefault="00B95645" w:rsidP="00B95645">
      <w:pPr>
        <w:rPr>
          <w:rFonts w:ascii="Arial" w:hAnsi="Arial" w:cs="Arial"/>
          <w:sz w:val="22"/>
          <w:szCs w:val="22"/>
        </w:rPr>
      </w:pPr>
    </w:p>
    <w:p w:rsidR="00B95645" w:rsidRDefault="00B95645" w:rsidP="00B95645">
      <w:pPr>
        <w:numPr>
          <w:ilvl w:val="0"/>
          <w:numId w:val="4"/>
        </w:numPr>
        <w:rPr>
          <w:rFonts w:ascii="Arial" w:hAnsi="Arial" w:cs="Arial"/>
          <w:sz w:val="22"/>
          <w:szCs w:val="22"/>
        </w:rPr>
      </w:pPr>
      <w:r w:rsidRPr="005E7E8F">
        <w:rPr>
          <w:rFonts w:ascii="Arial" w:hAnsi="Arial" w:cs="Arial"/>
          <w:sz w:val="22"/>
          <w:szCs w:val="22"/>
        </w:rPr>
        <w:t xml:space="preserve">Where appropriate, has a Risk Assessment been </w:t>
      </w:r>
      <w:r>
        <w:rPr>
          <w:rFonts w:ascii="Arial" w:hAnsi="Arial" w:cs="Arial"/>
          <w:sz w:val="22"/>
          <w:szCs w:val="22"/>
        </w:rPr>
        <w:t>carried out</w:t>
      </w:r>
      <w:r w:rsidRPr="005E7E8F">
        <w:rPr>
          <w:rFonts w:ascii="Arial" w:hAnsi="Arial" w:cs="Arial"/>
          <w:sz w:val="22"/>
          <w:szCs w:val="22"/>
        </w:rPr>
        <w:t xml:space="preserve">?  </w:t>
      </w:r>
    </w:p>
    <w:p w:rsidR="00B95645" w:rsidRDefault="00B95645" w:rsidP="00B95645">
      <w:pPr>
        <w:rPr>
          <w:rFonts w:ascii="Arial" w:hAnsi="Arial" w:cs="Arial"/>
          <w:sz w:val="22"/>
          <w:szCs w:val="22"/>
        </w:rPr>
      </w:pPr>
    </w:p>
    <w:p w:rsidR="00B95645" w:rsidRPr="005E7E8F" w:rsidRDefault="00B95645" w:rsidP="00B95645">
      <w:pPr>
        <w:numPr>
          <w:ilvl w:val="0"/>
          <w:numId w:val="4"/>
        </w:numPr>
        <w:rPr>
          <w:rFonts w:ascii="Arial" w:hAnsi="Arial" w:cs="Arial"/>
          <w:sz w:val="22"/>
          <w:szCs w:val="22"/>
        </w:rPr>
      </w:pPr>
      <w:r>
        <w:rPr>
          <w:rFonts w:ascii="Arial" w:hAnsi="Arial" w:cs="Arial"/>
          <w:sz w:val="22"/>
          <w:szCs w:val="22"/>
        </w:rPr>
        <w:t>If the sickness absence is, or is likely to be, for four weeks or more, is it appropriate to seek the employee’s consent in order to refer them to the Fit for Work occupational health service?</w:t>
      </w:r>
    </w:p>
    <w:p w:rsidR="00B95645" w:rsidRDefault="00B95645" w:rsidP="00B95645">
      <w:pPr>
        <w:rPr>
          <w:rFonts w:ascii="Arial" w:hAnsi="Arial" w:cs="Arial"/>
          <w:sz w:val="22"/>
          <w:szCs w:val="22"/>
        </w:rPr>
      </w:pPr>
    </w:p>
    <w:p w:rsidR="00B95645" w:rsidRDefault="00B95645" w:rsidP="00B95645">
      <w:pPr>
        <w:rPr>
          <w:rFonts w:ascii="Arial" w:hAnsi="Arial" w:cs="Arial"/>
          <w:sz w:val="22"/>
          <w:szCs w:val="22"/>
        </w:rPr>
      </w:pPr>
    </w:p>
    <w:p w:rsidR="00B95645" w:rsidRDefault="00B95645" w:rsidP="00B95645">
      <w:pPr>
        <w:rPr>
          <w:rFonts w:ascii="Arial" w:hAnsi="Arial" w:cs="Arial"/>
          <w:b/>
          <w:sz w:val="22"/>
          <w:szCs w:val="22"/>
          <w:u w:val="single"/>
        </w:rPr>
      </w:pPr>
      <w:r>
        <w:rPr>
          <w:rFonts w:ascii="Arial" w:hAnsi="Arial" w:cs="Arial"/>
          <w:b/>
          <w:sz w:val="22"/>
          <w:szCs w:val="22"/>
          <w:u w:val="single"/>
        </w:rPr>
        <w:t>Long-term Sickness:</w:t>
      </w:r>
    </w:p>
    <w:p w:rsidR="00B95645" w:rsidRDefault="00B95645" w:rsidP="00B95645">
      <w:pPr>
        <w:rPr>
          <w:rFonts w:ascii="Arial" w:hAnsi="Arial" w:cs="Arial"/>
          <w:b/>
          <w:sz w:val="22"/>
          <w:szCs w:val="22"/>
          <w:u w:val="single"/>
        </w:rPr>
      </w:pPr>
    </w:p>
    <w:p w:rsidR="00B95645" w:rsidRPr="00FC7CE4" w:rsidRDefault="00B95645" w:rsidP="00B95645">
      <w:pPr>
        <w:numPr>
          <w:ilvl w:val="0"/>
          <w:numId w:val="6"/>
        </w:numPr>
        <w:rPr>
          <w:rFonts w:ascii="Arial" w:hAnsi="Arial" w:cs="Arial"/>
          <w:sz w:val="22"/>
          <w:szCs w:val="22"/>
        </w:rPr>
      </w:pPr>
      <w:r>
        <w:rPr>
          <w:rFonts w:ascii="Arial" w:hAnsi="Arial" w:cs="Arial"/>
          <w:sz w:val="22"/>
          <w:szCs w:val="22"/>
        </w:rPr>
        <w:t>Has regular contact been maintained with the affected employee?</w:t>
      </w:r>
    </w:p>
    <w:p w:rsidR="00B95645" w:rsidRDefault="00B95645" w:rsidP="00B95645">
      <w:pPr>
        <w:rPr>
          <w:rFonts w:ascii="Arial" w:hAnsi="Arial" w:cs="Arial"/>
          <w:sz w:val="22"/>
          <w:szCs w:val="22"/>
        </w:rPr>
      </w:pPr>
    </w:p>
    <w:p w:rsidR="00B95645" w:rsidRDefault="00B95645" w:rsidP="00B95645">
      <w:pPr>
        <w:numPr>
          <w:ilvl w:val="0"/>
          <w:numId w:val="6"/>
        </w:numPr>
        <w:rPr>
          <w:rFonts w:ascii="Arial" w:hAnsi="Arial" w:cs="Arial"/>
          <w:sz w:val="22"/>
          <w:szCs w:val="22"/>
        </w:rPr>
      </w:pPr>
      <w:r>
        <w:rPr>
          <w:rFonts w:ascii="Arial" w:hAnsi="Arial" w:cs="Arial"/>
          <w:sz w:val="22"/>
          <w:szCs w:val="22"/>
        </w:rPr>
        <w:t>Has the time and frequency of such contact been agreed with the employee?</w:t>
      </w:r>
    </w:p>
    <w:p w:rsidR="00B95645" w:rsidRDefault="00B95645" w:rsidP="00B95645">
      <w:pPr>
        <w:rPr>
          <w:rFonts w:ascii="Arial" w:hAnsi="Arial" w:cs="Arial"/>
          <w:sz w:val="22"/>
          <w:szCs w:val="22"/>
        </w:rPr>
      </w:pPr>
    </w:p>
    <w:p w:rsidR="00B95645" w:rsidRPr="00FC7CE4" w:rsidRDefault="00B95645" w:rsidP="00B95645">
      <w:pPr>
        <w:numPr>
          <w:ilvl w:val="0"/>
          <w:numId w:val="6"/>
        </w:numPr>
        <w:rPr>
          <w:rFonts w:ascii="Arial" w:hAnsi="Arial" w:cs="Arial"/>
          <w:sz w:val="22"/>
          <w:szCs w:val="22"/>
        </w:rPr>
      </w:pPr>
      <w:r>
        <w:rPr>
          <w:rFonts w:ascii="Arial" w:hAnsi="Arial" w:cs="Arial"/>
          <w:sz w:val="22"/>
          <w:szCs w:val="22"/>
        </w:rPr>
        <w:t xml:space="preserve"> Is it appropriate to refer the employee to the employer’s Occupational Health service or</w:t>
      </w:r>
      <w:r w:rsidRPr="00FC7CE4">
        <w:rPr>
          <w:rFonts w:ascii="Arial" w:hAnsi="Arial" w:cs="Arial"/>
          <w:sz w:val="22"/>
          <w:szCs w:val="22"/>
        </w:rPr>
        <w:t xml:space="preserve"> </w:t>
      </w:r>
      <w:r>
        <w:rPr>
          <w:rFonts w:ascii="Arial" w:hAnsi="Arial" w:cs="Arial"/>
          <w:sz w:val="22"/>
          <w:szCs w:val="22"/>
        </w:rPr>
        <w:t>the Fit for Work occupational health service?  If so, has the employee’s consent for the referral been sought?</w:t>
      </w:r>
      <w:r w:rsidRPr="00FC7CE4">
        <w:rPr>
          <w:rFonts w:ascii="Arial" w:hAnsi="Arial" w:cs="Arial"/>
          <w:sz w:val="22"/>
          <w:szCs w:val="22"/>
        </w:rPr>
        <w:t xml:space="preserve"> </w:t>
      </w:r>
    </w:p>
    <w:p w:rsidR="00B95645" w:rsidRDefault="00B95645" w:rsidP="00B95645">
      <w:pPr>
        <w:rPr>
          <w:rFonts w:ascii="Arial" w:hAnsi="Arial" w:cs="Arial"/>
          <w:sz w:val="22"/>
          <w:szCs w:val="22"/>
        </w:rPr>
      </w:pPr>
    </w:p>
    <w:p w:rsidR="00B95645" w:rsidRDefault="00B95645" w:rsidP="00B95645">
      <w:pPr>
        <w:numPr>
          <w:ilvl w:val="0"/>
          <w:numId w:val="6"/>
        </w:numPr>
        <w:rPr>
          <w:rFonts w:ascii="Arial" w:hAnsi="Arial" w:cs="Arial"/>
          <w:sz w:val="22"/>
          <w:szCs w:val="22"/>
        </w:rPr>
      </w:pPr>
      <w:r>
        <w:rPr>
          <w:rFonts w:ascii="Arial" w:hAnsi="Arial" w:cs="Arial"/>
          <w:sz w:val="22"/>
          <w:szCs w:val="22"/>
        </w:rPr>
        <w:t>Is the employees’ sickness record being kept up to date?</w:t>
      </w:r>
    </w:p>
    <w:p w:rsidR="00B95645" w:rsidRDefault="00B95645" w:rsidP="00B95645">
      <w:pPr>
        <w:rPr>
          <w:rFonts w:ascii="Arial" w:hAnsi="Arial" w:cs="Arial"/>
          <w:sz w:val="22"/>
          <w:szCs w:val="22"/>
        </w:rPr>
      </w:pPr>
    </w:p>
    <w:p w:rsidR="00B95645" w:rsidRDefault="00B95645" w:rsidP="00B95645">
      <w:pPr>
        <w:numPr>
          <w:ilvl w:val="0"/>
          <w:numId w:val="6"/>
        </w:numPr>
        <w:rPr>
          <w:rFonts w:ascii="Arial" w:hAnsi="Arial" w:cs="Arial"/>
          <w:sz w:val="22"/>
          <w:szCs w:val="22"/>
        </w:rPr>
      </w:pPr>
      <w:r>
        <w:rPr>
          <w:rFonts w:ascii="Arial" w:hAnsi="Arial" w:cs="Arial"/>
          <w:sz w:val="22"/>
          <w:szCs w:val="22"/>
        </w:rPr>
        <w:t>Has a relevant manager had a discussion with the employee to ascertain the employees concerns, and has that manager reviewed any support that could be provided?</w:t>
      </w:r>
    </w:p>
    <w:p w:rsidR="00B95645" w:rsidRDefault="00B95645" w:rsidP="00B95645">
      <w:pPr>
        <w:rPr>
          <w:rFonts w:ascii="Arial" w:hAnsi="Arial" w:cs="Arial"/>
          <w:sz w:val="22"/>
          <w:szCs w:val="22"/>
        </w:rPr>
      </w:pPr>
    </w:p>
    <w:p w:rsidR="00B95645" w:rsidRDefault="00B95645" w:rsidP="00B95645">
      <w:pPr>
        <w:numPr>
          <w:ilvl w:val="0"/>
          <w:numId w:val="6"/>
        </w:numPr>
        <w:rPr>
          <w:rFonts w:ascii="Arial" w:hAnsi="Arial" w:cs="Arial"/>
          <w:sz w:val="22"/>
          <w:szCs w:val="22"/>
        </w:rPr>
      </w:pPr>
      <w:r>
        <w:rPr>
          <w:rFonts w:ascii="Arial" w:hAnsi="Arial" w:cs="Arial"/>
          <w:sz w:val="22"/>
          <w:szCs w:val="22"/>
        </w:rPr>
        <w:t>Where Statutory Sick Pay has or is likely to exceed 28 weeks, has the statutory form SSP1 been completed?</w:t>
      </w:r>
    </w:p>
    <w:p w:rsidR="00B95645" w:rsidRDefault="00B95645" w:rsidP="00B95645">
      <w:pPr>
        <w:rPr>
          <w:rFonts w:ascii="Arial" w:hAnsi="Arial" w:cs="Arial"/>
          <w:sz w:val="22"/>
          <w:szCs w:val="22"/>
        </w:rPr>
      </w:pPr>
    </w:p>
    <w:p w:rsidR="00B95645" w:rsidRDefault="00B95645" w:rsidP="00B95645">
      <w:pPr>
        <w:numPr>
          <w:ilvl w:val="0"/>
          <w:numId w:val="6"/>
        </w:numPr>
        <w:rPr>
          <w:rFonts w:ascii="Arial" w:hAnsi="Arial" w:cs="Arial"/>
          <w:sz w:val="22"/>
          <w:szCs w:val="22"/>
        </w:rPr>
      </w:pPr>
      <w:r>
        <w:rPr>
          <w:rFonts w:ascii="Arial" w:hAnsi="Arial" w:cs="Arial"/>
          <w:sz w:val="22"/>
          <w:szCs w:val="22"/>
        </w:rPr>
        <w:t>Where the condition affects a particular aspect of the employee’s work, has a suitable alternative role been considered?</w:t>
      </w:r>
    </w:p>
    <w:p w:rsidR="00B95645" w:rsidRDefault="00B95645" w:rsidP="00B95645">
      <w:pPr>
        <w:rPr>
          <w:rFonts w:ascii="Arial" w:hAnsi="Arial" w:cs="Arial"/>
          <w:sz w:val="22"/>
          <w:szCs w:val="22"/>
        </w:rPr>
      </w:pPr>
    </w:p>
    <w:p w:rsidR="00B95645" w:rsidRDefault="00B95645" w:rsidP="00B95645">
      <w:pPr>
        <w:numPr>
          <w:ilvl w:val="0"/>
          <w:numId w:val="6"/>
        </w:numPr>
        <w:rPr>
          <w:rFonts w:ascii="Arial" w:hAnsi="Arial" w:cs="Arial"/>
          <w:sz w:val="22"/>
          <w:szCs w:val="22"/>
        </w:rPr>
      </w:pPr>
      <w:r>
        <w:rPr>
          <w:rFonts w:ascii="Arial" w:hAnsi="Arial" w:cs="Arial"/>
          <w:sz w:val="22"/>
          <w:szCs w:val="22"/>
        </w:rPr>
        <w:t>If the employee has agreed to a referral to Occupational Health/Fit for Work occupational health service, has proper consideration been given to any advice/recommendations/timetable for return?  Remember that any recommendations made may be considered to be a reasonable adjustment for disability discrimination purposes.</w:t>
      </w:r>
    </w:p>
    <w:p w:rsidR="00B95645" w:rsidRDefault="00B95645" w:rsidP="00B95645">
      <w:pPr>
        <w:rPr>
          <w:rFonts w:ascii="Arial" w:hAnsi="Arial" w:cs="Arial"/>
          <w:sz w:val="22"/>
          <w:szCs w:val="22"/>
        </w:rPr>
      </w:pPr>
    </w:p>
    <w:p w:rsidR="00B95645" w:rsidRDefault="00B95645" w:rsidP="00B95645">
      <w:pPr>
        <w:numPr>
          <w:ilvl w:val="0"/>
          <w:numId w:val="6"/>
        </w:numPr>
        <w:rPr>
          <w:rFonts w:ascii="Arial" w:hAnsi="Arial" w:cs="Arial"/>
          <w:sz w:val="22"/>
          <w:szCs w:val="22"/>
        </w:rPr>
      </w:pPr>
      <w:r>
        <w:rPr>
          <w:rFonts w:ascii="Arial" w:hAnsi="Arial" w:cs="Arial"/>
          <w:sz w:val="22"/>
          <w:szCs w:val="22"/>
        </w:rPr>
        <w:t xml:space="preserve">If such recommendations are implemented, do they fall within the Government’s tax exemption for qualifying purposes? </w:t>
      </w:r>
    </w:p>
    <w:p w:rsidR="00B95645" w:rsidRDefault="00B95645" w:rsidP="00B95645">
      <w:pPr>
        <w:rPr>
          <w:rFonts w:ascii="Arial" w:hAnsi="Arial" w:cs="Arial"/>
          <w:sz w:val="22"/>
          <w:szCs w:val="22"/>
        </w:rPr>
      </w:pPr>
    </w:p>
    <w:p w:rsidR="00B95645" w:rsidRDefault="00B95645" w:rsidP="00B95645">
      <w:pPr>
        <w:rPr>
          <w:rFonts w:ascii="Arial" w:hAnsi="Arial" w:cs="Arial"/>
          <w:sz w:val="22"/>
          <w:szCs w:val="22"/>
        </w:rPr>
      </w:pPr>
    </w:p>
    <w:p w:rsidR="00B95645" w:rsidRDefault="00B95645" w:rsidP="00B95645">
      <w:pPr>
        <w:rPr>
          <w:rFonts w:ascii="Arial" w:hAnsi="Arial" w:cs="Arial"/>
          <w:sz w:val="22"/>
          <w:szCs w:val="22"/>
        </w:rPr>
      </w:pPr>
    </w:p>
    <w:p w:rsidR="00B95645" w:rsidRDefault="00B95645" w:rsidP="00B95645">
      <w:pPr>
        <w:rPr>
          <w:rFonts w:ascii="Arial" w:hAnsi="Arial" w:cs="Arial"/>
          <w:sz w:val="22"/>
          <w:szCs w:val="22"/>
        </w:rPr>
      </w:pPr>
    </w:p>
    <w:p w:rsidR="00B95645" w:rsidRDefault="00B95645" w:rsidP="00B95645">
      <w:pPr>
        <w:rPr>
          <w:rFonts w:ascii="Arial" w:hAnsi="Arial" w:cs="Arial"/>
          <w:sz w:val="22"/>
          <w:szCs w:val="22"/>
        </w:rPr>
      </w:pPr>
    </w:p>
    <w:p w:rsidR="007937E1" w:rsidRPr="00B95645" w:rsidRDefault="007937E1" w:rsidP="00B95645">
      <w:pPr>
        <w:rPr>
          <w:szCs w:val="22"/>
        </w:rPr>
      </w:pPr>
    </w:p>
    <w:sectPr w:rsidR="007937E1" w:rsidRPr="00B95645">
      <w:footerReference w:type="default" r:id="rId11"/>
      <w:footerReference w:type="first" r:id="rId12"/>
      <w:type w:val="continuous"/>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BDD" w:rsidRDefault="00585BDD">
      <w:r>
        <w:separator/>
      </w:r>
    </w:p>
  </w:endnote>
  <w:endnote w:type="continuationSeparator" w:id="0">
    <w:p w:rsidR="00585BDD" w:rsidRDefault="0058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08B" w:rsidRDefault="00E4056F" w:rsidP="00E4056F">
    <w:pPr>
      <w:pStyle w:val="Footer"/>
      <w:tabs>
        <w:tab w:val="clear" w:pos="4153"/>
        <w:tab w:val="clear" w:pos="8306"/>
        <w:tab w:val="right" w:pos="9072"/>
      </w:tabs>
      <w:jc w:val="center"/>
      <w:rPr>
        <w:sz w:val="16"/>
      </w:rPr>
    </w:pPr>
    <w:r>
      <w:rPr>
        <w:noProof/>
      </w:rPr>
      <w:drawing>
        <wp:inline distT="0" distB="0" distL="0" distR="0" wp14:anchorId="6CE005EE" wp14:editId="695074D8">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p w:rsidR="0073208B" w:rsidRDefault="007320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08B" w:rsidRDefault="0073208B">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73208B" w:rsidRDefault="0073208B">
    <w:pPr>
      <w:pStyle w:val="Footer"/>
      <w:framePr w:wrap="auto" w:vAnchor="text" w:hAnchor="margin" w:xAlign="center" w:y="1"/>
      <w:widowControl/>
      <w:rPr>
        <w:rStyle w:val="PageNumber"/>
        <w:sz w:val="24"/>
      </w:rPr>
    </w:pPr>
  </w:p>
  <w:p w:rsidR="0073208B" w:rsidRDefault="0073208B">
    <w:pPr>
      <w:pStyle w:val="Footer"/>
      <w:framePr w:wrap="auto" w:vAnchor="text" w:hAnchor="margin" w:xAlign="center" w:y="1"/>
      <w:widowControl/>
      <w:jc w:val="center"/>
      <w:rPr>
        <w:rStyle w:val="PageNumber"/>
        <w:sz w:val="24"/>
      </w:rPr>
    </w:pPr>
  </w:p>
  <w:p w:rsidR="0073208B" w:rsidRDefault="0073208B">
    <w:pPr>
      <w:pStyle w:val="Footer"/>
      <w:framePr w:wrap="auto" w:vAnchor="text" w:hAnchor="margin" w:xAlign="center" w:y="1"/>
      <w:widowControl/>
      <w:rPr>
        <w:rStyle w:val="PageNumber"/>
        <w:sz w:val="24"/>
      </w:rPr>
    </w:pPr>
  </w:p>
  <w:p w:rsidR="0073208B" w:rsidRDefault="0073208B">
    <w:pPr>
      <w:pStyle w:val="Footer"/>
      <w:widowControl/>
    </w:pPr>
  </w:p>
  <w:p w:rsidR="0073208B" w:rsidRDefault="007320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BDD" w:rsidRDefault="00585BDD">
      <w:r>
        <w:separator/>
      </w:r>
    </w:p>
  </w:footnote>
  <w:footnote w:type="continuationSeparator" w:id="0">
    <w:p w:rsidR="00585BDD" w:rsidRDefault="00585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589"/>
    <w:multiLevelType w:val="hybridMultilevel"/>
    <w:tmpl w:val="EA7401CA"/>
    <w:lvl w:ilvl="0" w:tplc="DAC8B4B2">
      <w:start w:val="1"/>
      <w:numFmt w:val="lowerLetter"/>
      <w:pStyle w:val="Style3n"/>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E992270"/>
    <w:multiLevelType w:val="hybridMultilevel"/>
    <w:tmpl w:val="9AD6A242"/>
    <w:lvl w:ilvl="0" w:tplc="65DABFC4">
      <w:start w:val="1"/>
      <w:numFmt w:val="decimal"/>
      <w:lvlText w:val="%1."/>
      <w:lvlJc w:val="left"/>
      <w:pPr>
        <w:tabs>
          <w:tab w:val="num" w:pos="340"/>
        </w:tabs>
        <w:ind w:left="397" w:hanging="39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F93DDB"/>
    <w:multiLevelType w:val="hybridMultilevel"/>
    <w:tmpl w:val="73608DF4"/>
    <w:lvl w:ilvl="0" w:tplc="65DABFC4">
      <w:start w:val="1"/>
      <w:numFmt w:val="decimal"/>
      <w:lvlText w:val="%1."/>
      <w:lvlJc w:val="left"/>
      <w:pPr>
        <w:tabs>
          <w:tab w:val="num" w:pos="340"/>
        </w:tabs>
        <w:ind w:left="397" w:hanging="39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2A12B6"/>
    <w:multiLevelType w:val="hybridMultilevel"/>
    <w:tmpl w:val="F9247980"/>
    <w:lvl w:ilvl="0" w:tplc="C96CAE4C">
      <w:start w:val="1"/>
      <w:numFmt w:val="bullet"/>
      <w:lvlText w:val=""/>
      <w:lvlJc w:val="left"/>
      <w:pPr>
        <w:tabs>
          <w:tab w:val="num" w:pos="363"/>
        </w:tabs>
        <w:ind w:left="363"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553016"/>
    <w:multiLevelType w:val="hybridMultilevel"/>
    <w:tmpl w:val="B10E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E7466"/>
    <w:multiLevelType w:val="hybridMultilevel"/>
    <w:tmpl w:val="5BB0D2E6"/>
    <w:lvl w:ilvl="0" w:tplc="C96CAE4C">
      <w:start w:val="1"/>
      <w:numFmt w:val="bullet"/>
      <w:lvlText w:val=""/>
      <w:lvlJc w:val="left"/>
      <w:pPr>
        <w:tabs>
          <w:tab w:val="num" w:pos="363"/>
        </w:tabs>
        <w:ind w:left="363" w:hanging="36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A6"/>
    <w:rsid w:val="00005A94"/>
    <w:rsid w:val="00051A36"/>
    <w:rsid w:val="000E7BB7"/>
    <w:rsid w:val="000F60E0"/>
    <w:rsid w:val="00122F07"/>
    <w:rsid w:val="00125E2B"/>
    <w:rsid w:val="00134E06"/>
    <w:rsid w:val="0015461C"/>
    <w:rsid w:val="00164FD0"/>
    <w:rsid w:val="001759A4"/>
    <w:rsid w:val="001B002F"/>
    <w:rsid w:val="001D31E8"/>
    <w:rsid w:val="00261360"/>
    <w:rsid w:val="00266ED8"/>
    <w:rsid w:val="0028259A"/>
    <w:rsid w:val="002A07D6"/>
    <w:rsid w:val="002C3B1E"/>
    <w:rsid w:val="002C6E60"/>
    <w:rsid w:val="0030242D"/>
    <w:rsid w:val="00310BE9"/>
    <w:rsid w:val="00316566"/>
    <w:rsid w:val="003169B4"/>
    <w:rsid w:val="003A0B53"/>
    <w:rsid w:val="003A4507"/>
    <w:rsid w:val="003B0168"/>
    <w:rsid w:val="003E088C"/>
    <w:rsid w:val="004017B1"/>
    <w:rsid w:val="00412434"/>
    <w:rsid w:val="00421ACA"/>
    <w:rsid w:val="004301BC"/>
    <w:rsid w:val="00454A28"/>
    <w:rsid w:val="004932C3"/>
    <w:rsid w:val="004A5783"/>
    <w:rsid w:val="004C1A00"/>
    <w:rsid w:val="005102F3"/>
    <w:rsid w:val="0055756B"/>
    <w:rsid w:val="00565BF5"/>
    <w:rsid w:val="00567C45"/>
    <w:rsid w:val="005766E3"/>
    <w:rsid w:val="00585BDD"/>
    <w:rsid w:val="0058766D"/>
    <w:rsid w:val="005C4222"/>
    <w:rsid w:val="005E7E8F"/>
    <w:rsid w:val="005F014A"/>
    <w:rsid w:val="005F63C6"/>
    <w:rsid w:val="00600EDB"/>
    <w:rsid w:val="00604274"/>
    <w:rsid w:val="0062328C"/>
    <w:rsid w:val="0065183B"/>
    <w:rsid w:val="0066494A"/>
    <w:rsid w:val="006A5852"/>
    <w:rsid w:val="006D5F60"/>
    <w:rsid w:val="0073208B"/>
    <w:rsid w:val="00766664"/>
    <w:rsid w:val="007731B2"/>
    <w:rsid w:val="00783F7E"/>
    <w:rsid w:val="007937E1"/>
    <w:rsid w:val="007A2447"/>
    <w:rsid w:val="007E77CF"/>
    <w:rsid w:val="007F66A6"/>
    <w:rsid w:val="00802244"/>
    <w:rsid w:val="00822E85"/>
    <w:rsid w:val="00836468"/>
    <w:rsid w:val="00852280"/>
    <w:rsid w:val="00870114"/>
    <w:rsid w:val="00874EFD"/>
    <w:rsid w:val="00876DC0"/>
    <w:rsid w:val="008C5CCE"/>
    <w:rsid w:val="008D38E8"/>
    <w:rsid w:val="008F7DA4"/>
    <w:rsid w:val="00904708"/>
    <w:rsid w:val="009121E8"/>
    <w:rsid w:val="00924DB8"/>
    <w:rsid w:val="00925BD1"/>
    <w:rsid w:val="00925D96"/>
    <w:rsid w:val="009329F3"/>
    <w:rsid w:val="0095335A"/>
    <w:rsid w:val="00983BF5"/>
    <w:rsid w:val="00995AA4"/>
    <w:rsid w:val="009B4D0B"/>
    <w:rsid w:val="009E282C"/>
    <w:rsid w:val="009F1635"/>
    <w:rsid w:val="00A00D55"/>
    <w:rsid w:val="00A02635"/>
    <w:rsid w:val="00A14A83"/>
    <w:rsid w:val="00A27735"/>
    <w:rsid w:val="00A27D24"/>
    <w:rsid w:val="00A33084"/>
    <w:rsid w:val="00A5351D"/>
    <w:rsid w:val="00AA2B38"/>
    <w:rsid w:val="00AD2359"/>
    <w:rsid w:val="00AD63BA"/>
    <w:rsid w:val="00AE0F74"/>
    <w:rsid w:val="00AE2BD2"/>
    <w:rsid w:val="00AE70FF"/>
    <w:rsid w:val="00B1044B"/>
    <w:rsid w:val="00B30EAA"/>
    <w:rsid w:val="00B76A07"/>
    <w:rsid w:val="00B847B0"/>
    <w:rsid w:val="00B86EA1"/>
    <w:rsid w:val="00B95645"/>
    <w:rsid w:val="00B96EB1"/>
    <w:rsid w:val="00BA11FB"/>
    <w:rsid w:val="00BF5F2F"/>
    <w:rsid w:val="00C12786"/>
    <w:rsid w:val="00C33863"/>
    <w:rsid w:val="00C34A9D"/>
    <w:rsid w:val="00C43EF6"/>
    <w:rsid w:val="00C64B9D"/>
    <w:rsid w:val="00C730C5"/>
    <w:rsid w:val="00C76492"/>
    <w:rsid w:val="00C82B3B"/>
    <w:rsid w:val="00C9109C"/>
    <w:rsid w:val="00CB4FFF"/>
    <w:rsid w:val="00CF1BC9"/>
    <w:rsid w:val="00D143F6"/>
    <w:rsid w:val="00D25F2E"/>
    <w:rsid w:val="00D263EA"/>
    <w:rsid w:val="00D62A6C"/>
    <w:rsid w:val="00D63641"/>
    <w:rsid w:val="00D85B25"/>
    <w:rsid w:val="00DB0EA5"/>
    <w:rsid w:val="00DB102E"/>
    <w:rsid w:val="00DC4B93"/>
    <w:rsid w:val="00DF1361"/>
    <w:rsid w:val="00DF1AA2"/>
    <w:rsid w:val="00DF7AEB"/>
    <w:rsid w:val="00E02F12"/>
    <w:rsid w:val="00E173CC"/>
    <w:rsid w:val="00E4056F"/>
    <w:rsid w:val="00E80A6E"/>
    <w:rsid w:val="00F4111B"/>
    <w:rsid w:val="00F47B01"/>
    <w:rsid w:val="00F5585B"/>
    <w:rsid w:val="00FA01FD"/>
    <w:rsid w:val="00FA5C94"/>
    <w:rsid w:val="00FD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F1AD0-4034-4351-A0C7-C6D9D693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6A6"/>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6"/>
      </w:tabs>
      <w:spacing w:line="360" w:lineRule="auto"/>
      <w:jc w:val="center"/>
      <w:outlineLvl w:val="0"/>
    </w:pPr>
    <w:rPr>
      <w:b/>
    </w:rPr>
  </w:style>
  <w:style w:type="paragraph" w:styleId="Heading2">
    <w:name w:val="heading 2"/>
    <w:basedOn w:val="Normal"/>
    <w:next w:val="Normal"/>
    <w:qFormat/>
    <w:pPr>
      <w:keepNext/>
      <w:tabs>
        <w:tab w:val="left" w:pos="426"/>
      </w:tabs>
      <w:spacing w:after="120"/>
      <w:outlineLvl w:val="1"/>
    </w:pPr>
    <w:rPr>
      <w:b/>
    </w:rPr>
  </w:style>
  <w:style w:type="paragraph" w:styleId="Heading3">
    <w:name w:val="heading 3"/>
    <w:basedOn w:val="Normal"/>
    <w:next w:val="Normal"/>
    <w:qFormat/>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qFormat/>
    <w:pPr>
      <w:keepNext/>
      <w:tabs>
        <w:tab w:val="left" w:pos="3119"/>
      </w:tabs>
      <w:ind w:left="3119" w:hanging="3119"/>
      <w:outlineLvl w:val="4"/>
    </w:pPr>
    <w:rPr>
      <w:rFonts w:cs="Arial"/>
      <w:b/>
      <w:bCs/>
    </w:rPr>
  </w:style>
  <w:style w:type="paragraph" w:styleId="Heading6">
    <w:name w:val="heading 6"/>
    <w:basedOn w:val="Normal"/>
    <w:next w:val="Normal"/>
    <w:qFormat/>
    <w:pPr>
      <w:keepNext/>
      <w:widowControl/>
      <w:tabs>
        <w:tab w:val="left" w:pos="720"/>
        <w:tab w:val="left" w:pos="2880"/>
        <w:tab w:val="left" w:pos="5040"/>
        <w:tab w:val="left" w:pos="6120"/>
      </w:tabs>
      <w:spacing w:after="58"/>
      <w:jc w:val="center"/>
      <w:outlineLvl w:val="5"/>
    </w:pPr>
    <w:rPr>
      <w:b/>
      <w:bCs/>
      <w:sz w:val="18"/>
      <w:szCs w:val="18"/>
    </w:rPr>
  </w:style>
  <w:style w:type="paragraph" w:styleId="Heading7">
    <w:name w:val="heading 7"/>
    <w:basedOn w:val="Normal"/>
    <w:next w:val="Normal"/>
    <w:qFormat/>
    <w:pPr>
      <w:keepNext/>
      <w:widowControl/>
      <w:overflowPunct/>
      <w:autoSpaceDE/>
      <w:autoSpaceDN/>
      <w:adjustRightInd/>
      <w:textAlignment w:val="auto"/>
      <w:outlineLvl w:val="6"/>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jc w:val="center"/>
    </w:pPr>
    <w:rPr>
      <w:b/>
      <w:u w:val="single"/>
    </w:rPr>
  </w:style>
  <w:style w:type="paragraph" w:styleId="ListNumber">
    <w:name w:val="List Number"/>
    <w:basedOn w:val="Normal"/>
    <w:pPr>
      <w:tabs>
        <w:tab w:val="left" w:pos="360"/>
      </w:tabs>
      <w:ind w:left="360" w:hanging="360"/>
    </w:pPr>
  </w:style>
  <w:style w:type="paragraph" w:styleId="ListNumber3">
    <w:name w:val="List Number 3"/>
    <w:basedOn w:val="Normal"/>
    <w:pPr>
      <w:tabs>
        <w:tab w:val="left" w:pos="360"/>
      </w:tabs>
      <w:ind w:left="227" w:hanging="227"/>
    </w:pPr>
  </w:style>
  <w:style w:type="paragraph" w:styleId="Footer">
    <w:name w:val="footer"/>
    <w:basedOn w:val="Normal"/>
    <w:pPr>
      <w:tabs>
        <w:tab w:val="center" w:pos="4153"/>
        <w:tab w:val="right" w:pos="8306"/>
      </w:tabs>
    </w:pPr>
  </w:style>
  <w:style w:type="paragraph" w:customStyle="1" w:styleId="LegalNumbering">
    <w:name w:val="Legal Numbering"/>
    <w:basedOn w:val="ListNumber3"/>
    <w:pPr>
      <w:tabs>
        <w:tab w:val="left" w:pos="454"/>
      </w:tabs>
      <w:ind w:left="454" w:hanging="454"/>
    </w:pPr>
  </w:style>
  <w:style w:type="character" w:styleId="PageNumber">
    <w:name w:val="page number"/>
    <w:basedOn w:val="DefaultParagraphFont"/>
    <w:rPr>
      <w:sz w:val="20"/>
    </w:rPr>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left" w:pos="720"/>
        <w:tab w:val="right" w:pos="8296"/>
      </w:tabs>
      <w:spacing w:after="120"/>
    </w:pPr>
    <w:rPr>
      <w:lang w:val="en-US"/>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
    <w:name w:val="Body Text Indent"/>
    <w:basedOn w:val="Normal"/>
    <w:pPr>
      <w:tabs>
        <w:tab w:val="left" w:pos="-720"/>
        <w:tab w:val="left" w:pos="0"/>
      </w:tabs>
      <w:suppressAutoHyphens/>
      <w:ind w:left="720" w:hanging="720"/>
    </w:pPr>
    <w:rPr>
      <w:spacing w:val="-3"/>
    </w:rPr>
  </w:style>
  <w:style w:type="paragraph" w:styleId="BodyTextIndent2">
    <w:name w:val="Body Text Indent 2"/>
    <w:basedOn w:val="Normal"/>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qFormat/>
    <w:rPr>
      <w:b/>
    </w:rPr>
  </w:style>
  <w:style w:type="paragraph" w:styleId="BodyText">
    <w:name w:val="Body Text"/>
    <w:basedOn w:val="Normal"/>
    <w:pPr>
      <w:widowControl/>
      <w:pBdr>
        <w:top w:val="single" w:sz="6" w:space="1" w:color="auto"/>
        <w:bottom w:val="single" w:sz="6" w:space="1" w:color="auto"/>
      </w:pBdr>
      <w:jc w:val="center"/>
    </w:pPr>
    <w:rPr>
      <w:rFonts w:ascii="Arial" w:hAnsi="Arial"/>
      <w:iCs/>
      <w:caps/>
    </w:rPr>
  </w:style>
  <w:style w:type="paragraph" w:styleId="BodyTextIndent3">
    <w:name w:val="Body Text Indent 3"/>
    <w:basedOn w:val="Normal"/>
    <w:pPr>
      <w:ind w:left="709"/>
    </w:pPr>
    <w:rPr>
      <w:rFonts w:ascii="Arial" w:hAnsi="Arial"/>
    </w:rPr>
  </w:style>
  <w:style w:type="paragraph" w:customStyle="1" w:styleId="Blockquote">
    <w:name w:val="Blockquote"/>
    <w:basedOn w:val="Normal"/>
    <w:pPr>
      <w:widowControl/>
      <w:spacing w:before="100" w:after="100"/>
      <w:ind w:left="360" w:right="360"/>
    </w:pPr>
  </w:style>
  <w:style w:type="paragraph" w:styleId="Subtitle">
    <w:name w:val="Subtitle"/>
    <w:basedOn w:val="Normal"/>
    <w:qFormat/>
    <w:pPr>
      <w:spacing w:after="60"/>
      <w:jc w:val="center"/>
      <w:outlineLvl w:val="1"/>
    </w:pPr>
    <w:rPr>
      <w:rFonts w:ascii="Arial" w:hAnsi="Arial" w:cs="Arial"/>
      <w:szCs w:val="24"/>
    </w:rPr>
  </w:style>
  <w:style w:type="paragraph" w:customStyle="1" w:styleId="Style1">
    <w:name w:val="Style1"/>
    <w:basedOn w:val="Title"/>
    <w:pPr>
      <w:keepNext/>
      <w:keepLines/>
      <w:numPr>
        <w:numId w:val="3"/>
      </w:numPr>
      <w:spacing w:before="120" w:after="120"/>
      <w:jc w:val="both"/>
    </w:pPr>
    <w:rPr>
      <w:bCs/>
      <w:u w:val="none"/>
    </w:rPr>
  </w:style>
  <w:style w:type="paragraph" w:customStyle="1" w:styleId="Style2">
    <w:name w:val="Style2"/>
    <w:basedOn w:val="Normal"/>
    <w:pPr>
      <w:numPr>
        <w:ilvl w:val="2"/>
        <w:numId w:val="3"/>
      </w:numPr>
      <w:spacing w:after="120"/>
    </w:pPr>
  </w:style>
  <w:style w:type="paragraph" w:styleId="BodyText3">
    <w:name w:val="Body Text 3"/>
    <w:basedOn w:val="Normal"/>
    <w:rPr>
      <w:rFonts w:ascii="Arial" w:hAnsi="Arial"/>
      <w:sz w:val="22"/>
    </w:rPr>
  </w:style>
  <w:style w:type="paragraph" w:customStyle="1" w:styleId="Style3a">
    <w:name w:val="Style3a"/>
    <w:basedOn w:val="Style311"/>
    <w:pPr>
      <w:numPr>
        <w:ilvl w:val="5"/>
      </w:numPr>
    </w:pPr>
  </w:style>
  <w:style w:type="paragraph" w:customStyle="1" w:styleId="Style311">
    <w:name w:val="Style3.1.1"/>
    <w:basedOn w:val="Normal"/>
    <w:pPr>
      <w:widowControl/>
      <w:numPr>
        <w:ilvl w:val="4"/>
        <w:numId w:val="3"/>
      </w:numPr>
      <w:spacing w:after="120"/>
    </w:pPr>
    <w:rPr>
      <w:rFonts w:cs="Arial"/>
      <w:bCs/>
    </w:rPr>
  </w:style>
  <w:style w:type="paragraph" w:customStyle="1" w:styleId="Style2n">
    <w:name w:val="Style2n"/>
    <w:basedOn w:val="BodyTextIndent3"/>
    <w:pPr>
      <w:spacing w:after="120"/>
    </w:pPr>
  </w:style>
  <w:style w:type="paragraph" w:customStyle="1" w:styleId="LeftLettered">
    <w:name w:val="LeftLettered"/>
    <w:basedOn w:val="Normal"/>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pPr>
      <w:spacing w:after="120"/>
      <w:ind w:left="1418"/>
    </w:pPr>
  </w:style>
  <w:style w:type="paragraph" w:customStyle="1" w:styleId="Style4">
    <w:name w:val="Style4"/>
    <w:basedOn w:val="Normal"/>
    <w:pPr>
      <w:numPr>
        <w:ilvl w:val="6"/>
        <w:numId w:val="3"/>
      </w:numPr>
      <w:spacing w:after="120"/>
    </w:pPr>
  </w:style>
  <w:style w:type="paragraph" w:customStyle="1" w:styleId="Style">
    <w:name w:val="Style"/>
    <w:basedOn w:val="Normal"/>
    <w:pPr>
      <w:overflowPunct/>
      <w:ind w:left="720" w:hanging="720"/>
      <w:textAlignment w:val="auto"/>
    </w:pPr>
    <w:rPr>
      <w:rFonts w:ascii="Lucida Console" w:hAnsi="Lucida Console"/>
      <w:sz w:val="20"/>
      <w:szCs w:val="24"/>
      <w:lang w:val="en-US"/>
    </w:rPr>
  </w:style>
  <w:style w:type="paragraph" w:customStyle="1" w:styleId="Style4n">
    <w:name w:val="Style4n"/>
    <w:basedOn w:val="Style3n"/>
    <w:pPr>
      <w:ind w:left="2127"/>
    </w:pPr>
  </w:style>
  <w:style w:type="paragraph" w:customStyle="1" w:styleId="Style2a">
    <w:name w:val="Style2a"/>
    <w:basedOn w:val="Style2n"/>
    <w:pPr>
      <w:numPr>
        <w:ilvl w:val="3"/>
        <w:numId w:val="3"/>
      </w:numPr>
    </w:pPr>
  </w:style>
  <w:style w:type="paragraph" w:customStyle="1" w:styleId="Style1notBold">
    <w:name w:val="Style1notBold"/>
    <w:basedOn w:val="Style1"/>
    <w:pPr>
      <w:keepNext w:val="0"/>
      <w:keepLines w:val="0"/>
      <w:widowControl w:val="0"/>
      <w:numPr>
        <w:ilvl w:val="1"/>
      </w:numPr>
    </w:pPr>
    <w:rPr>
      <w:b w:val="0"/>
    </w:rPr>
  </w:style>
  <w:style w:type="paragraph" w:styleId="BalloonText">
    <w:name w:val="Balloon Text"/>
    <w:basedOn w:val="Normal"/>
    <w:semiHidden/>
    <w:rsid w:val="00C33863"/>
    <w:rPr>
      <w:rFonts w:ascii="Tahoma" w:hAnsi="Tahoma" w:cs="Tahoma"/>
      <w:sz w:val="16"/>
      <w:szCs w:val="16"/>
    </w:rPr>
  </w:style>
  <w:style w:type="paragraph" w:customStyle="1" w:styleId="Style4a">
    <w:name w:val="Style4a"/>
    <w:basedOn w:val="Style3a"/>
    <w:pPr>
      <w:numPr>
        <w:ilvl w:val="7"/>
      </w:numPr>
    </w:pPr>
  </w:style>
  <w:style w:type="character" w:styleId="CommentReference">
    <w:name w:val="annotation reference"/>
    <w:basedOn w:val="DefaultParagraphFont"/>
    <w:semiHidden/>
    <w:rsid w:val="00852280"/>
    <w:rPr>
      <w:sz w:val="16"/>
      <w:szCs w:val="16"/>
    </w:rPr>
  </w:style>
  <w:style w:type="paragraph" w:styleId="CommentText">
    <w:name w:val="annotation text"/>
    <w:basedOn w:val="Normal"/>
    <w:semiHidden/>
    <w:rsid w:val="00852280"/>
    <w:rPr>
      <w:sz w:val="20"/>
    </w:rPr>
  </w:style>
  <w:style w:type="paragraph" w:styleId="CommentSubject">
    <w:name w:val="annotation subject"/>
    <w:basedOn w:val="CommentText"/>
    <w:next w:val="CommentText"/>
    <w:semiHidden/>
    <w:rsid w:val="00852280"/>
    <w:rPr>
      <w:b/>
      <w:bCs/>
    </w:rPr>
  </w:style>
  <w:style w:type="character" w:styleId="Hyperlink">
    <w:name w:val="Hyperlink"/>
    <w:basedOn w:val="DefaultParagraphFont"/>
    <w:rsid w:val="00A14A83"/>
    <w:rPr>
      <w:color w:val="0000FF"/>
      <w:u w:val="single"/>
    </w:rPr>
  </w:style>
  <w:style w:type="character" w:styleId="FollowedHyperlink">
    <w:name w:val="FollowedHyperlink"/>
    <w:basedOn w:val="DefaultParagraphFont"/>
    <w:rsid w:val="00B956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3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imply-docs.co.uk/DocumentSubfolder.aspx?documentSubfolderID=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mply-docs.co.uk/Dealing_with_Employee_Sickness_and_Absence/Absence_And_Illness_Return_To_Work_Form" TargetMode="External"/><Relationship Id="rId4" Type="http://schemas.openxmlformats.org/officeDocument/2006/relationships/settings" Target="settings.xml"/><Relationship Id="rId9" Type="http://schemas.openxmlformats.org/officeDocument/2006/relationships/hyperlink" Target="http://simply-docs.co.uk/Dealing_with_Employee_Sickness_and_Absence/Guidance_Notes_for_Return_To_Work_Interviews_And_Risk_Assessm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nena.moti\Application%20Data\Microsoft\Templates\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A7E16-0315-498D-90FE-F28D769A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4646</CharactersWithSpaces>
  <SharedDoc>false</SharedDoc>
  <HLinks>
    <vt:vector size="18" baseType="variant">
      <vt:variant>
        <vt:i4>5046394</vt:i4>
      </vt:variant>
      <vt:variant>
        <vt:i4>6</vt:i4>
      </vt:variant>
      <vt:variant>
        <vt:i4>0</vt:i4>
      </vt:variant>
      <vt:variant>
        <vt:i4>5</vt:i4>
      </vt:variant>
      <vt:variant>
        <vt:lpwstr>http://simply-docs.co.uk/Dealing_with_Employee_Sickness_and_Absence/Absence_And_Illness_Return_To_Work_Form</vt:lpwstr>
      </vt:variant>
      <vt:variant>
        <vt:lpwstr/>
      </vt:variant>
      <vt:variant>
        <vt:i4>1114140</vt:i4>
      </vt:variant>
      <vt:variant>
        <vt:i4>3</vt:i4>
      </vt:variant>
      <vt:variant>
        <vt:i4>0</vt:i4>
      </vt:variant>
      <vt:variant>
        <vt:i4>5</vt:i4>
      </vt:variant>
      <vt:variant>
        <vt:lpwstr>http://simply-docs.co.uk/Dealing_with_Employee_Sickness_and_Absence/Guidance_Notes_for_Return_To_Work_Interviews_And_Risk_Assessments</vt:lpwstr>
      </vt:variant>
      <vt:variant>
        <vt:lpwstr/>
      </vt:variant>
      <vt:variant>
        <vt:i4>8192037</vt:i4>
      </vt:variant>
      <vt:variant>
        <vt:i4>0</vt:i4>
      </vt:variant>
      <vt:variant>
        <vt:i4>0</vt:i4>
      </vt:variant>
      <vt:variant>
        <vt:i4>5</vt:i4>
      </vt:variant>
      <vt:variant>
        <vt:lpwstr>http://www.simply-docs.co.uk/DocumentSubfolder.aspx?documentSubfolderID=54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sunena.moti</dc:creator>
  <cp:keywords/>
  <cp:lastModifiedBy>davie92@hotmail.com</cp:lastModifiedBy>
  <cp:revision>3</cp:revision>
  <cp:lastPrinted>2003-11-07T10:07:00Z</cp:lastPrinted>
  <dcterms:created xsi:type="dcterms:W3CDTF">2018-09-13T11:30:00Z</dcterms:created>
  <dcterms:modified xsi:type="dcterms:W3CDTF">2018-09-13T11:30:00Z</dcterms:modified>
</cp:coreProperties>
</file>